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05"/>
        <w:gridCol w:w="2939"/>
      </w:tblGrid>
      <w:tr w:rsidR="00963CBA" w:rsidRPr="00CA515B" w14:paraId="07D6564B" w14:textId="77777777">
        <w:trPr>
          <w:trHeight w:val="851"/>
        </w:trPr>
        <w:tc>
          <w:tcPr>
            <w:tcW w:w="1259" w:type="dxa"/>
            <w:tcBorders>
              <w:top w:val="nil"/>
              <w:left w:val="nil"/>
              <w:bottom w:val="single" w:sz="4" w:space="0" w:color="auto"/>
              <w:right w:val="nil"/>
            </w:tcBorders>
          </w:tcPr>
          <w:p w14:paraId="61450CFF" w14:textId="77777777" w:rsidR="00446DE4" w:rsidRPr="00CA515B" w:rsidRDefault="00446DE4" w:rsidP="0054180F">
            <w:pPr>
              <w:pStyle w:val="Heading2"/>
            </w:pPr>
          </w:p>
        </w:tc>
        <w:tc>
          <w:tcPr>
            <w:tcW w:w="2236" w:type="dxa"/>
            <w:tcBorders>
              <w:top w:val="nil"/>
              <w:left w:val="nil"/>
              <w:bottom w:val="single" w:sz="4" w:space="0" w:color="auto"/>
              <w:right w:val="nil"/>
            </w:tcBorders>
            <w:vAlign w:val="bottom"/>
          </w:tcPr>
          <w:p w14:paraId="31106F79" w14:textId="77777777" w:rsidR="00446DE4" w:rsidRPr="00CA515B" w:rsidRDefault="00B3317B" w:rsidP="0022130F">
            <w:pPr>
              <w:spacing w:after="80" w:line="300" w:lineRule="exact"/>
              <w:rPr>
                <w:sz w:val="28"/>
                <w:szCs w:val="28"/>
              </w:rPr>
            </w:pPr>
            <w:r w:rsidRPr="00CA515B">
              <w:rPr>
                <w:sz w:val="28"/>
                <w:szCs w:val="28"/>
              </w:rPr>
              <w:t>United Nations</w:t>
            </w:r>
          </w:p>
        </w:tc>
        <w:tc>
          <w:tcPr>
            <w:tcW w:w="6144" w:type="dxa"/>
            <w:gridSpan w:val="2"/>
            <w:tcBorders>
              <w:top w:val="nil"/>
              <w:left w:val="nil"/>
              <w:bottom w:val="single" w:sz="4" w:space="0" w:color="auto"/>
              <w:right w:val="nil"/>
            </w:tcBorders>
            <w:vAlign w:val="bottom"/>
          </w:tcPr>
          <w:p w14:paraId="5E9150D1" w14:textId="77777777" w:rsidR="00446DE4" w:rsidRPr="00CA515B" w:rsidRDefault="002F779E" w:rsidP="00632385">
            <w:pPr>
              <w:jc w:val="right"/>
            </w:pPr>
            <w:r w:rsidRPr="00CA515B">
              <w:rPr>
                <w:sz w:val="40"/>
              </w:rPr>
              <w:t>A</w:t>
            </w:r>
            <w:r w:rsidRPr="00CA515B">
              <w:t>/HRC/43/NGO/X</w:t>
            </w:r>
          </w:p>
        </w:tc>
      </w:tr>
      <w:tr w:rsidR="003107FA" w:rsidRPr="00CA515B" w14:paraId="2CA1AF57" w14:textId="77777777">
        <w:trPr>
          <w:trHeight w:val="2835"/>
        </w:trPr>
        <w:tc>
          <w:tcPr>
            <w:tcW w:w="1259" w:type="dxa"/>
            <w:tcBorders>
              <w:top w:val="single" w:sz="4" w:space="0" w:color="auto"/>
              <w:left w:val="nil"/>
              <w:bottom w:val="single" w:sz="12" w:space="0" w:color="auto"/>
              <w:right w:val="nil"/>
            </w:tcBorders>
          </w:tcPr>
          <w:p w14:paraId="44B93218" w14:textId="77777777" w:rsidR="003107FA" w:rsidRPr="00CA515B" w:rsidRDefault="00A35C9F" w:rsidP="00956D9B">
            <w:pPr>
              <w:spacing w:before="120"/>
              <w:jc w:val="center"/>
            </w:pPr>
            <w:r w:rsidRPr="00CA515B">
              <w:rPr>
                <w:noProof/>
                <w:lang w:val="en-US"/>
              </w:rPr>
              <w:drawing>
                <wp:inline distT="0" distB="0" distL="0" distR="0" wp14:anchorId="6D1CE00D" wp14:editId="07CC4D29">
                  <wp:extent cx="714375" cy="590550"/>
                  <wp:effectExtent l="0" t="0" r="9525"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41" w:type="dxa"/>
            <w:gridSpan w:val="2"/>
            <w:tcBorders>
              <w:top w:val="single" w:sz="4" w:space="0" w:color="auto"/>
              <w:left w:val="nil"/>
              <w:bottom w:val="single" w:sz="12" w:space="0" w:color="auto"/>
              <w:right w:val="nil"/>
            </w:tcBorders>
          </w:tcPr>
          <w:p w14:paraId="0FC39B10" w14:textId="77777777" w:rsidR="003107FA" w:rsidRPr="00CA515B" w:rsidRDefault="00B3317B" w:rsidP="00EF5BDB">
            <w:pPr>
              <w:spacing w:before="120" w:line="420" w:lineRule="exact"/>
              <w:rPr>
                <w:b/>
                <w:sz w:val="40"/>
                <w:szCs w:val="40"/>
              </w:rPr>
            </w:pPr>
            <w:r w:rsidRPr="00CA515B">
              <w:rPr>
                <w:b/>
                <w:sz w:val="40"/>
                <w:szCs w:val="40"/>
              </w:rPr>
              <w:t>General Assembly</w:t>
            </w:r>
          </w:p>
        </w:tc>
        <w:tc>
          <w:tcPr>
            <w:tcW w:w="2939" w:type="dxa"/>
            <w:tcBorders>
              <w:top w:val="single" w:sz="4" w:space="0" w:color="auto"/>
              <w:left w:val="nil"/>
              <w:bottom w:val="single" w:sz="12" w:space="0" w:color="auto"/>
              <w:right w:val="nil"/>
            </w:tcBorders>
          </w:tcPr>
          <w:p w14:paraId="5E206E35" w14:textId="77777777" w:rsidR="0015766B" w:rsidRPr="00CA515B" w:rsidRDefault="0015766B" w:rsidP="0015766B">
            <w:pPr>
              <w:spacing w:before="240" w:line="240" w:lineRule="exact"/>
            </w:pPr>
            <w:r w:rsidRPr="00CA515B">
              <w:t>Distr.: General</w:t>
            </w:r>
          </w:p>
          <w:p w14:paraId="1D30C657" w14:textId="77777777" w:rsidR="00571BA5" w:rsidRPr="00CA515B" w:rsidRDefault="002F779E" w:rsidP="00110F15">
            <w:pPr>
              <w:spacing w:line="240" w:lineRule="exact"/>
            </w:pPr>
            <w:r w:rsidRPr="00CA515B">
              <w:t>XX February 2020</w:t>
            </w:r>
          </w:p>
          <w:p w14:paraId="7335BE56" w14:textId="77777777" w:rsidR="0015766B" w:rsidRPr="00CA515B" w:rsidRDefault="0015766B" w:rsidP="0015766B">
            <w:pPr>
              <w:spacing w:line="240" w:lineRule="exact"/>
            </w:pPr>
          </w:p>
          <w:p w14:paraId="6FD3D510" w14:textId="77777777" w:rsidR="003107FA" w:rsidRPr="00CA515B" w:rsidRDefault="0015766B" w:rsidP="0015766B">
            <w:pPr>
              <w:spacing w:line="240" w:lineRule="exact"/>
            </w:pPr>
            <w:r w:rsidRPr="00CA515B">
              <w:t>English only</w:t>
            </w:r>
          </w:p>
        </w:tc>
      </w:tr>
    </w:tbl>
    <w:p w14:paraId="51D05F11" w14:textId="77777777" w:rsidR="007B7E57" w:rsidRPr="00CA515B" w:rsidRDefault="007B7E57" w:rsidP="007B7E57">
      <w:pPr>
        <w:spacing w:before="120"/>
        <w:rPr>
          <w:b/>
          <w:sz w:val="24"/>
          <w:szCs w:val="24"/>
        </w:rPr>
      </w:pPr>
      <w:r w:rsidRPr="00CA515B">
        <w:rPr>
          <w:b/>
          <w:sz w:val="24"/>
          <w:szCs w:val="24"/>
        </w:rPr>
        <w:t>Human Rights Council</w:t>
      </w:r>
    </w:p>
    <w:p w14:paraId="41DBED70" w14:textId="77777777" w:rsidR="007B7E57" w:rsidRPr="00CA515B" w:rsidRDefault="002F779E" w:rsidP="00DD7794">
      <w:pPr>
        <w:rPr>
          <w:b/>
        </w:rPr>
      </w:pPr>
      <w:r w:rsidRPr="00CA515B">
        <w:rPr>
          <w:b/>
        </w:rPr>
        <w:t xml:space="preserve">Forty-third </w:t>
      </w:r>
      <w:r w:rsidR="007B7E57" w:rsidRPr="00CA515B">
        <w:rPr>
          <w:b/>
        </w:rPr>
        <w:t>session</w:t>
      </w:r>
    </w:p>
    <w:p w14:paraId="2D30A87F" w14:textId="77777777" w:rsidR="007B7E57" w:rsidRPr="00CA515B" w:rsidRDefault="004903D1" w:rsidP="00320985">
      <w:r w:rsidRPr="00CA515B">
        <w:t>24 February–20 March 2020</w:t>
      </w:r>
    </w:p>
    <w:p w14:paraId="3EBCDC90" w14:textId="77777777" w:rsidR="007B7E57" w:rsidRPr="00CA515B" w:rsidRDefault="004903D1" w:rsidP="00320985">
      <w:r w:rsidRPr="00CA515B">
        <w:t xml:space="preserve">Agenda item </w:t>
      </w:r>
      <w:r w:rsidR="002F779E" w:rsidRPr="00CA515B">
        <w:t>2</w:t>
      </w:r>
    </w:p>
    <w:p w14:paraId="6E6664A4" w14:textId="77777777" w:rsidR="00ED19B8" w:rsidRPr="00CA515B" w:rsidRDefault="002F779E" w:rsidP="00ED19B8">
      <w:pPr>
        <w:rPr>
          <w:b/>
        </w:rPr>
      </w:pPr>
      <w:r w:rsidRPr="00CA515B">
        <w:rPr>
          <w:b/>
          <w:bCs/>
        </w:rPr>
        <w:t>Annual report of the United Nations High Commissioner for Human Rights and reports of the Office of the High Commissioner and the Secretary-General</w:t>
      </w:r>
    </w:p>
    <w:p w14:paraId="692FC9BB" w14:textId="77777777" w:rsidR="00571BA5" w:rsidRPr="00CA515B" w:rsidRDefault="007B7E57" w:rsidP="00CA515B">
      <w:pPr>
        <w:pStyle w:val="HChG"/>
      </w:pPr>
      <w:r w:rsidRPr="00CA515B">
        <w:rPr>
          <w:bCs/>
        </w:rPr>
        <w:tab/>
      </w:r>
      <w:r w:rsidRPr="00CA515B">
        <w:rPr>
          <w:bCs/>
        </w:rPr>
        <w:tab/>
      </w:r>
      <w:r w:rsidR="00ED19B8" w:rsidRPr="00CA515B">
        <w:t>Joint written statement</w:t>
      </w:r>
      <w:r w:rsidR="00D20AD6" w:rsidRPr="00CA515B">
        <w:rPr>
          <w:rStyle w:val="FootnoteReference"/>
          <w:b w:val="0"/>
          <w:bCs/>
          <w:sz w:val="20"/>
        </w:rPr>
        <w:footnoteReference w:customMarkFollows="1" w:id="2"/>
        <w:t>*</w:t>
      </w:r>
      <w:r w:rsidR="00ED19B8" w:rsidRPr="00CA515B">
        <w:t xml:space="preserve"> submitted by </w:t>
      </w:r>
      <w:r w:rsidR="002F779E" w:rsidRPr="00CA515B">
        <w:t xml:space="preserve">Al-Haq, Law in the Service of Man, Al Mezan Centre for Human Rights, BADIL Resource Center for Palestinian Residency and Refugee Rights, Cairo Institute for Human Rights Studies, Defence for Children International, </w:t>
      </w:r>
      <w:r w:rsidR="00CA515B" w:rsidRPr="00CA515B">
        <w:t>Habitat International Coalition</w:t>
      </w:r>
      <w:r w:rsidR="002F779E" w:rsidRPr="00CA515B">
        <w:t xml:space="preserve">, </w:t>
      </w:r>
      <w:r w:rsidR="00A96247" w:rsidRPr="00CA515B">
        <w:t xml:space="preserve">and </w:t>
      </w:r>
      <w:r w:rsidR="002F779E" w:rsidRPr="00CA515B">
        <w:t>Palestinian Centre for Human Rights, non-governmental organizations in special consultative status</w:t>
      </w:r>
    </w:p>
    <w:p w14:paraId="695B0956" w14:textId="77777777" w:rsidR="00571BA5" w:rsidRPr="00CA515B" w:rsidRDefault="00571BA5" w:rsidP="00571BA5">
      <w:pPr>
        <w:pStyle w:val="SingleTxtG"/>
        <w:ind w:firstLine="567"/>
      </w:pPr>
      <w:r w:rsidRPr="00CA515B">
        <w:t>The Secretary-General has received the following written statement which is circulated in accordance with Economic and Social Council resolution 1996/31.</w:t>
      </w:r>
    </w:p>
    <w:p w14:paraId="6482127D" w14:textId="77777777" w:rsidR="00571BA5" w:rsidRPr="00CA515B" w:rsidRDefault="00571BA5" w:rsidP="00571BA5">
      <w:pPr>
        <w:pStyle w:val="SingleTxtG"/>
        <w:jc w:val="right"/>
      </w:pPr>
      <w:r w:rsidRPr="00CA515B">
        <w:t>[</w:t>
      </w:r>
      <w:r w:rsidR="002F779E" w:rsidRPr="00CA515B">
        <w:t>03 February 2020</w:t>
      </w:r>
      <w:r w:rsidRPr="00CA515B">
        <w:t>]</w:t>
      </w:r>
    </w:p>
    <w:p w14:paraId="6D0C34FA" w14:textId="77777777" w:rsidR="004A1593" w:rsidRPr="00CA515B" w:rsidRDefault="004A1593" w:rsidP="00D61469">
      <w:pPr>
        <w:pStyle w:val="SingleTxtG"/>
        <w:jc w:val="right"/>
      </w:pPr>
    </w:p>
    <w:p w14:paraId="0859466C" w14:textId="6663FD5A" w:rsidR="000A52C3" w:rsidRPr="00CA515B" w:rsidRDefault="00C62C5A" w:rsidP="00D02CAD">
      <w:pPr>
        <w:pStyle w:val="HChG"/>
        <w:tabs>
          <w:tab w:val="clear" w:pos="851"/>
        </w:tabs>
        <w:spacing w:line="240" w:lineRule="auto"/>
        <w:ind w:left="0" w:right="-81" w:firstLine="0"/>
        <w:jc w:val="center"/>
        <w:rPr>
          <w:sz w:val="24"/>
          <w:szCs w:val="24"/>
        </w:rPr>
      </w:pPr>
      <w:r w:rsidRPr="00CA515B">
        <w:br w:type="page"/>
      </w:r>
      <w:r w:rsidR="002F779E" w:rsidRPr="00CA515B">
        <w:rPr>
          <w:bCs/>
        </w:rPr>
        <w:lastRenderedPageBreak/>
        <w:t xml:space="preserve">Human Rights Council Must End </w:t>
      </w:r>
      <w:r w:rsidR="00A96247" w:rsidRPr="00CA515B">
        <w:rPr>
          <w:bCs/>
        </w:rPr>
        <w:t xml:space="preserve">Closure of Gaza and Ensure </w:t>
      </w:r>
      <w:r w:rsidR="002F779E" w:rsidRPr="00CA515B">
        <w:rPr>
          <w:bCs/>
        </w:rPr>
        <w:t>Accountability</w:t>
      </w:r>
    </w:p>
    <w:p w14:paraId="63EF4A6A" w14:textId="3F7F618E" w:rsidR="00A96247" w:rsidRPr="00CA515B" w:rsidRDefault="00A96247" w:rsidP="00B81767">
      <w:pPr>
        <w:spacing w:before="200" w:after="200" w:line="240" w:lineRule="auto"/>
        <w:jc w:val="both"/>
        <w:rPr>
          <w:bCs/>
          <w:sz w:val="24"/>
          <w:szCs w:val="24"/>
        </w:rPr>
      </w:pPr>
      <w:r w:rsidRPr="00CA515B">
        <w:rPr>
          <w:bCs/>
          <w:sz w:val="24"/>
          <w:szCs w:val="24"/>
        </w:rPr>
        <w:t xml:space="preserve">Since 2007, Israel has imposed a comprehensive land, sea, and air blockade over the occupied Gaza Strip, impacting some two million Palestinians. Since 30 March 2018, Palestinians in Gaza have </w:t>
      </w:r>
      <w:r w:rsidR="004628BE" w:rsidRPr="00CA515B">
        <w:rPr>
          <w:bCs/>
          <w:sz w:val="24"/>
          <w:szCs w:val="24"/>
        </w:rPr>
        <w:t>protested</w:t>
      </w:r>
      <w:r w:rsidRPr="00CA515B">
        <w:rPr>
          <w:bCs/>
          <w:sz w:val="24"/>
          <w:szCs w:val="24"/>
        </w:rPr>
        <w:t xml:space="preserve"> on a near-weekly basis as part of the Great Return March, calling for an end to Israel’s illegal closure, which amounts to collective punishment, and the realisation of their inalienable rights, in particular the right of return of Palestinian refugees and the right of the Palestinian people to self-determination, as mandated by international law. This submission addresses the urgent need </w:t>
      </w:r>
      <w:r w:rsidR="003D00E9" w:rsidRPr="00CA515B">
        <w:rPr>
          <w:bCs/>
          <w:sz w:val="24"/>
          <w:szCs w:val="24"/>
        </w:rPr>
        <w:t xml:space="preserve">to end the </w:t>
      </w:r>
      <w:r w:rsidR="00F732CA">
        <w:rPr>
          <w:bCs/>
          <w:sz w:val="24"/>
          <w:szCs w:val="24"/>
        </w:rPr>
        <w:t xml:space="preserve">Gaza </w:t>
      </w:r>
      <w:r w:rsidR="003D00E9" w:rsidRPr="00CA515B">
        <w:rPr>
          <w:bCs/>
          <w:sz w:val="24"/>
          <w:szCs w:val="24"/>
        </w:rPr>
        <w:t xml:space="preserve">closure and ensure </w:t>
      </w:r>
      <w:r w:rsidRPr="00CA515B">
        <w:rPr>
          <w:bCs/>
          <w:sz w:val="24"/>
          <w:szCs w:val="24"/>
        </w:rPr>
        <w:t>accountability, including th</w:t>
      </w:r>
      <w:r w:rsidR="003D00E9" w:rsidRPr="00CA515B">
        <w:rPr>
          <w:bCs/>
          <w:sz w:val="24"/>
          <w:szCs w:val="24"/>
        </w:rPr>
        <w:t>rough the</w:t>
      </w:r>
      <w:r w:rsidRPr="00CA515B">
        <w:rPr>
          <w:bCs/>
          <w:sz w:val="24"/>
          <w:szCs w:val="24"/>
        </w:rPr>
        <w:t xml:space="preserve"> implementation of the recommendations of the United Nations (UN) Commission of Inquiry on the 2018 protests in the occupied Palestinian territory (‘the Commission’).</w:t>
      </w:r>
    </w:p>
    <w:p w14:paraId="6E06B2A6" w14:textId="77777777" w:rsidR="00A96247" w:rsidRPr="00CA515B" w:rsidRDefault="00A96247" w:rsidP="0012581E">
      <w:pPr>
        <w:spacing w:before="200" w:after="200" w:line="240" w:lineRule="auto"/>
        <w:jc w:val="both"/>
        <w:rPr>
          <w:b/>
          <w:sz w:val="24"/>
          <w:szCs w:val="24"/>
        </w:rPr>
      </w:pPr>
      <w:r w:rsidRPr="00CA515B">
        <w:rPr>
          <w:b/>
          <w:sz w:val="24"/>
          <w:szCs w:val="24"/>
        </w:rPr>
        <w:t>Israel’s Suppression of the Great Return March</w:t>
      </w:r>
    </w:p>
    <w:p w14:paraId="12008AF6" w14:textId="62F87BD3" w:rsidR="00A96247" w:rsidRPr="00CA515B" w:rsidRDefault="00B81767" w:rsidP="00B81767">
      <w:pPr>
        <w:spacing w:before="200" w:after="200" w:line="240" w:lineRule="auto"/>
        <w:jc w:val="both"/>
        <w:rPr>
          <w:sz w:val="24"/>
          <w:szCs w:val="24"/>
        </w:rPr>
      </w:pPr>
      <w:r>
        <w:rPr>
          <w:sz w:val="24"/>
          <w:szCs w:val="24"/>
        </w:rPr>
        <w:t>Since 30 March 2018</w:t>
      </w:r>
      <w:r w:rsidR="00A96247" w:rsidRPr="00CA515B">
        <w:rPr>
          <w:sz w:val="24"/>
          <w:szCs w:val="24"/>
        </w:rPr>
        <w:t xml:space="preserve">, the Israeli occupying forces have killed 216 Palestinians in the context of the </w:t>
      </w:r>
      <w:r>
        <w:rPr>
          <w:sz w:val="24"/>
          <w:szCs w:val="24"/>
        </w:rPr>
        <w:t>Great Return March</w:t>
      </w:r>
      <w:r w:rsidR="00A96247" w:rsidRPr="00CA515B">
        <w:rPr>
          <w:sz w:val="24"/>
          <w:szCs w:val="24"/>
        </w:rPr>
        <w:t xml:space="preserve">, including 47 children, nine persons with disabilities, four paramedics, and two journalists. On 22 March 2019, the Human Rights Council </w:t>
      </w:r>
      <w:r w:rsidR="003B05D3" w:rsidRPr="00CA515B">
        <w:rPr>
          <w:sz w:val="24"/>
          <w:szCs w:val="24"/>
        </w:rPr>
        <w:t xml:space="preserve">(‘the Council’) </w:t>
      </w:r>
      <w:r w:rsidR="00A96247" w:rsidRPr="00CA515B">
        <w:rPr>
          <w:sz w:val="24"/>
          <w:szCs w:val="24"/>
        </w:rPr>
        <w:t xml:space="preserve">adopted the Commission’s recommendations in accountability resolution 40/13, including </w:t>
      </w:r>
      <w:r>
        <w:rPr>
          <w:sz w:val="24"/>
          <w:szCs w:val="24"/>
        </w:rPr>
        <w:t>the Commission’s</w:t>
      </w:r>
      <w:r w:rsidRPr="00CA515B">
        <w:rPr>
          <w:sz w:val="24"/>
          <w:szCs w:val="24"/>
        </w:rPr>
        <w:t xml:space="preserve"> </w:t>
      </w:r>
      <w:r w:rsidR="00A96247" w:rsidRPr="00CA515B">
        <w:rPr>
          <w:sz w:val="24"/>
          <w:szCs w:val="24"/>
        </w:rPr>
        <w:t xml:space="preserve">calls on Israel to lift the Gaza closure, to </w:t>
      </w:r>
      <w:r>
        <w:rPr>
          <w:sz w:val="24"/>
          <w:szCs w:val="24"/>
        </w:rPr>
        <w:t>align</w:t>
      </w:r>
      <w:r w:rsidRPr="00CA515B">
        <w:rPr>
          <w:sz w:val="24"/>
          <w:szCs w:val="24"/>
        </w:rPr>
        <w:t xml:space="preserve"> </w:t>
      </w:r>
      <w:r w:rsidR="00F732CA">
        <w:rPr>
          <w:sz w:val="24"/>
          <w:szCs w:val="24"/>
        </w:rPr>
        <w:t>its</w:t>
      </w:r>
      <w:r w:rsidR="00F732CA" w:rsidRPr="00CA515B">
        <w:rPr>
          <w:sz w:val="24"/>
          <w:szCs w:val="24"/>
        </w:rPr>
        <w:t xml:space="preserve"> </w:t>
      </w:r>
      <w:r w:rsidR="00A96247" w:rsidRPr="00CA515B">
        <w:rPr>
          <w:sz w:val="24"/>
          <w:szCs w:val="24"/>
        </w:rPr>
        <w:t xml:space="preserve">rules of engagement for the use of live fire with international human rights law, and to </w:t>
      </w:r>
      <w:r>
        <w:rPr>
          <w:sz w:val="24"/>
          <w:szCs w:val="24"/>
        </w:rPr>
        <w:t>uphold</w:t>
      </w:r>
      <w:r w:rsidRPr="00CA515B">
        <w:rPr>
          <w:sz w:val="24"/>
          <w:szCs w:val="24"/>
        </w:rPr>
        <w:t xml:space="preserve"> </w:t>
      </w:r>
      <w:r w:rsidR="00A96247" w:rsidRPr="00CA515B">
        <w:rPr>
          <w:sz w:val="24"/>
          <w:szCs w:val="24"/>
        </w:rPr>
        <w:t>the right to health</w:t>
      </w:r>
      <w:r w:rsidR="00F732CA" w:rsidRPr="00F732CA">
        <w:rPr>
          <w:sz w:val="24"/>
          <w:szCs w:val="24"/>
        </w:rPr>
        <w:t xml:space="preserve"> </w:t>
      </w:r>
      <w:r w:rsidR="00F732CA" w:rsidRPr="00CA515B">
        <w:rPr>
          <w:sz w:val="24"/>
          <w:szCs w:val="24"/>
        </w:rPr>
        <w:t>of Palestinians</w:t>
      </w:r>
      <w:r w:rsidR="00A96247" w:rsidRPr="00CA515B">
        <w:rPr>
          <w:sz w:val="24"/>
          <w:szCs w:val="24"/>
        </w:rPr>
        <w:t>, including through the treatment of injuries from the demonstrations.</w:t>
      </w:r>
      <w:r w:rsidR="00A96247" w:rsidRPr="00CA515B">
        <w:rPr>
          <w:sz w:val="24"/>
          <w:szCs w:val="24"/>
          <w:vertAlign w:val="superscript"/>
        </w:rPr>
        <w:footnoteReference w:id="3"/>
      </w:r>
      <w:r w:rsidR="00A96247" w:rsidRPr="00CA515B">
        <w:rPr>
          <w:sz w:val="24"/>
          <w:szCs w:val="24"/>
        </w:rPr>
        <w:t xml:space="preserve"> Since the</w:t>
      </w:r>
      <w:r w:rsidR="00DF7A58">
        <w:rPr>
          <w:sz w:val="24"/>
          <w:szCs w:val="24"/>
        </w:rPr>
        <w:t>n</w:t>
      </w:r>
      <w:r w:rsidR="00A96247" w:rsidRPr="00CA515B">
        <w:rPr>
          <w:sz w:val="24"/>
          <w:szCs w:val="24"/>
        </w:rPr>
        <w:t xml:space="preserve"> and as of 20 January 2020, 20 Palestinians have been killed during the protests in Gaza, including six children, </w:t>
      </w:r>
      <w:r w:rsidR="00F732CA">
        <w:rPr>
          <w:sz w:val="24"/>
          <w:szCs w:val="24"/>
        </w:rPr>
        <w:t>reflecting</w:t>
      </w:r>
      <w:r w:rsidR="00F732CA" w:rsidRPr="00CA515B">
        <w:rPr>
          <w:sz w:val="24"/>
          <w:szCs w:val="24"/>
        </w:rPr>
        <w:t xml:space="preserve"> </w:t>
      </w:r>
      <w:r w:rsidR="00A96247" w:rsidRPr="00CA515B">
        <w:rPr>
          <w:sz w:val="24"/>
          <w:szCs w:val="24"/>
        </w:rPr>
        <w:t xml:space="preserve">Israel’s continued </w:t>
      </w:r>
      <w:r w:rsidR="00F732CA">
        <w:rPr>
          <w:sz w:val="24"/>
          <w:szCs w:val="24"/>
        </w:rPr>
        <w:t>resort</w:t>
      </w:r>
      <w:r w:rsidR="00F732CA" w:rsidRPr="00CA515B">
        <w:rPr>
          <w:sz w:val="24"/>
          <w:szCs w:val="24"/>
        </w:rPr>
        <w:t xml:space="preserve"> </w:t>
      </w:r>
      <w:r w:rsidR="00F732CA">
        <w:rPr>
          <w:sz w:val="24"/>
          <w:szCs w:val="24"/>
        </w:rPr>
        <w:t>to</w:t>
      </w:r>
      <w:r w:rsidR="00F732CA" w:rsidRPr="00CA515B">
        <w:rPr>
          <w:sz w:val="24"/>
          <w:szCs w:val="24"/>
        </w:rPr>
        <w:t xml:space="preserve"> </w:t>
      </w:r>
      <w:r w:rsidR="00A96247" w:rsidRPr="00CA515B">
        <w:rPr>
          <w:sz w:val="24"/>
          <w:szCs w:val="24"/>
        </w:rPr>
        <w:t xml:space="preserve">excessive </w:t>
      </w:r>
      <w:r>
        <w:rPr>
          <w:sz w:val="24"/>
          <w:szCs w:val="24"/>
        </w:rPr>
        <w:t xml:space="preserve">and lethal </w:t>
      </w:r>
      <w:r w:rsidR="00A96247" w:rsidRPr="00CA515B">
        <w:rPr>
          <w:sz w:val="24"/>
          <w:szCs w:val="24"/>
        </w:rPr>
        <w:t>force to suppress the Great Return March.</w:t>
      </w:r>
    </w:p>
    <w:p w14:paraId="39DFAE33" w14:textId="1A070F67" w:rsidR="00A96247" w:rsidRPr="00CA515B" w:rsidRDefault="00A96247" w:rsidP="00495710">
      <w:pPr>
        <w:spacing w:before="200" w:after="200" w:line="240" w:lineRule="auto"/>
        <w:jc w:val="both"/>
        <w:rPr>
          <w:sz w:val="24"/>
          <w:szCs w:val="24"/>
        </w:rPr>
      </w:pPr>
      <w:r w:rsidRPr="00CA515B">
        <w:rPr>
          <w:sz w:val="24"/>
          <w:szCs w:val="24"/>
        </w:rPr>
        <w:t xml:space="preserve">On 6 September 2019, two Palestinian youths, aged 14 and 17, were shot and killed by the Israeli occupying forces in the context of the demonstrations. Khaled Al-Rabi’ey, 14, was shot three times with live ammunition by Israeli snipers in his left leg, left arm, and right loin while participating in the </w:t>
      </w:r>
      <w:r w:rsidR="00F732CA">
        <w:rPr>
          <w:sz w:val="24"/>
          <w:szCs w:val="24"/>
        </w:rPr>
        <w:t>demonstrations</w:t>
      </w:r>
      <w:r w:rsidRPr="00CA515B">
        <w:rPr>
          <w:sz w:val="24"/>
          <w:szCs w:val="24"/>
        </w:rPr>
        <w:t xml:space="preserve"> near Malaka return camp, east of Gaza City. At the time, Khaled was standing approximately 300 metres from the fence, not posing any threat to the Israeli </w:t>
      </w:r>
      <w:r w:rsidR="00F732CA">
        <w:rPr>
          <w:sz w:val="24"/>
          <w:szCs w:val="24"/>
        </w:rPr>
        <w:t xml:space="preserve">occupying </w:t>
      </w:r>
      <w:r w:rsidRPr="00CA515B">
        <w:rPr>
          <w:sz w:val="24"/>
          <w:szCs w:val="24"/>
        </w:rPr>
        <w:t xml:space="preserve">forces. </w:t>
      </w:r>
      <w:r w:rsidR="00495710">
        <w:rPr>
          <w:sz w:val="24"/>
          <w:szCs w:val="24"/>
        </w:rPr>
        <w:t>T</w:t>
      </w:r>
      <w:r w:rsidRPr="00CA515B">
        <w:rPr>
          <w:sz w:val="24"/>
          <w:szCs w:val="24"/>
        </w:rPr>
        <w:t xml:space="preserve">he lethal injuries had left </w:t>
      </w:r>
      <w:r w:rsidR="00495710">
        <w:rPr>
          <w:sz w:val="24"/>
          <w:szCs w:val="24"/>
        </w:rPr>
        <w:t>Khaled</w:t>
      </w:r>
      <w:r w:rsidR="00495710" w:rsidRPr="00CA515B">
        <w:rPr>
          <w:sz w:val="24"/>
          <w:szCs w:val="24"/>
        </w:rPr>
        <w:t xml:space="preserve"> </w:t>
      </w:r>
      <w:r w:rsidRPr="00CA515B">
        <w:rPr>
          <w:sz w:val="24"/>
          <w:szCs w:val="24"/>
        </w:rPr>
        <w:t xml:space="preserve">with no vital signs, </w:t>
      </w:r>
      <w:r w:rsidR="00495710">
        <w:rPr>
          <w:sz w:val="24"/>
          <w:szCs w:val="24"/>
        </w:rPr>
        <w:t xml:space="preserve">according to paramedics who treated him, </w:t>
      </w:r>
      <w:r w:rsidRPr="00CA515B">
        <w:rPr>
          <w:sz w:val="24"/>
          <w:szCs w:val="24"/>
        </w:rPr>
        <w:t xml:space="preserve">and </w:t>
      </w:r>
      <w:r w:rsidR="00495710">
        <w:rPr>
          <w:sz w:val="24"/>
          <w:szCs w:val="24"/>
        </w:rPr>
        <w:t>he</w:t>
      </w:r>
      <w:r w:rsidR="00495710" w:rsidRPr="00CA515B">
        <w:rPr>
          <w:sz w:val="24"/>
          <w:szCs w:val="24"/>
        </w:rPr>
        <w:t xml:space="preserve"> </w:t>
      </w:r>
      <w:r w:rsidRPr="00CA515B">
        <w:rPr>
          <w:sz w:val="24"/>
          <w:szCs w:val="24"/>
        </w:rPr>
        <w:t xml:space="preserve">was pronounced dead at Al-Shifa Hospital in Gaza City shortly after arrival. On the same day, Ali Al-Ashqar, 17, was shot with live ammunition in the back near Abu Safiya return camp, east of Jabaliya, in the northern Gaza Strip, </w:t>
      </w:r>
      <w:r w:rsidR="00B81767">
        <w:rPr>
          <w:sz w:val="24"/>
          <w:szCs w:val="24"/>
        </w:rPr>
        <w:t>without</w:t>
      </w:r>
      <w:r w:rsidR="00B81767" w:rsidRPr="00CA515B">
        <w:rPr>
          <w:sz w:val="24"/>
          <w:szCs w:val="24"/>
        </w:rPr>
        <w:t xml:space="preserve"> </w:t>
      </w:r>
      <w:r w:rsidRPr="00CA515B">
        <w:rPr>
          <w:sz w:val="24"/>
          <w:szCs w:val="24"/>
        </w:rPr>
        <w:t>pos</w:t>
      </w:r>
      <w:r w:rsidR="00F732CA">
        <w:rPr>
          <w:sz w:val="24"/>
          <w:szCs w:val="24"/>
        </w:rPr>
        <w:t>ing</w:t>
      </w:r>
      <w:r w:rsidRPr="00CA515B">
        <w:rPr>
          <w:sz w:val="24"/>
          <w:szCs w:val="24"/>
        </w:rPr>
        <w:t xml:space="preserve"> any threat to Israeli forces. He was pronounced dead upon arrival at the Indonesian Hospital in Beit Lahia.</w:t>
      </w:r>
    </w:p>
    <w:p w14:paraId="552AA228" w14:textId="7A81F6C2" w:rsidR="00A96247" w:rsidRPr="00CA515B" w:rsidRDefault="00A96247" w:rsidP="006804A6">
      <w:pPr>
        <w:spacing w:before="200" w:after="200" w:line="240" w:lineRule="auto"/>
        <w:jc w:val="both"/>
        <w:rPr>
          <w:sz w:val="24"/>
          <w:szCs w:val="24"/>
        </w:rPr>
      </w:pPr>
      <w:r w:rsidRPr="00CA515B">
        <w:rPr>
          <w:sz w:val="24"/>
          <w:szCs w:val="24"/>
        </w:rPr>
        <w:t xml:space="preserve">Since </w:t>
      </w:r>
      <w:r w:rsidR="00495710">
        <w:rPr>
          <w:sz w:val="24"/>
          <w:szCs w:val="24"/>
        </w:rPr>
        <w:t>the start of the demonstrations</w:t>
      </w:r>
      <w:r w:rsidRPr="00CA515B">
        <w:rPr>
          <w:sz w:val="24"/>
          <w:szCs w:val="24"/>
        </w:rPr>
        <w:t xml:space="preserve">, Israel has systematically suppressed the Great Return March, using excessive and lethal force to undermine </w:t>
      </w:r>
      <w:r w:rsidR="00F732CA">
        <w:rPr>
          <w:sz w:val="24"/>
          <w:szCs w:val="24"/>
        </w:rPr>
        <w:t>Palestinian</w:t>
      </w:r>
      <w:r w:rsidR="00F732CA" w:rsidRPr="00CA515B">
        <w:rPr>
          <w:sz w:val="24"/>
          <w:szCs w:val="24"/>
        </w:rPr>
        <w:t xml:space="preserve"> </w:t>
      </w:r>
      <w:r w:rsidRPr="00CA515B">
        <w:rPr>
          <w:sz w:val="24"/>
          <w:szCs w:val="24"/>
        </w:rPr>
        <w:t xml:space="preserve">protesters’ rights-based demands. We recall that all Palestinians, including children, have a right </w:t>
      </w:r>
      <w:r w:rsidR="00FB59EE" w:rsidRPr="00CA515B">
        <w:rPr>
          <w:sz w:val="24"/>
          <w:szCs w:val="24"/>
        </w:rPr>
        <w:t>to freedom of</w:t>
      </w:r>
      <w:r w:rsidRPr="00CA515B">
        <w:rPr>
          <w:sz w:val="24"/>
          <w:szCs w:val="24"/>
        </w:rPr>
        <w:t xml:space="preserve"> peaceful </w:t>
      </w:r>
      <w:r w:rsidR="00FB59EE" w:rsidRPr="00CA515B">
        <w:rPr>
          <w:sz w:val="24"/>
          <w:szCs w:val="24"/>
        </w:rPr>
        <w:t>assembly</w:t>
      </w:r>
      <w:r w:rsidRPr="00CA515B">
        <w:rPr>
          <w:sz w:val="24"/>
          <w:szCs w:val="24"/>
        </w:rPr>
        <w:t xml:space="preserve">, and that Israel, </w:t>
      </w:r>
      <w:r w:rsidR="00495710">
        <w:rPr>
          <w:sz w:val="24"/>
          <w:szCs w:val="24"/>
        </w:rPr>
        <w:t>as</w:t>
      </w:r>
      <w:r w:rsidR="00495710" w:rsidRPr="00CA515B">
        <w:rPr>
          <w:sz w:val="24"/>
          <w:szCs w:val="24"/>
        </w:rPr>
        <w:t xml:space="preserve"> </w:t>
      </w:r>
      <w:r w:rsidRPr="00CA515B">
        <w:rPr>
          <w:sz w:val="24"/>
          <w:szCs w:val="24"/>
        </w:rPr>
        <w:t xml:space="preserve">occupying power, is prohibited from resorting to excessive force to suppress unarmed civilian demonstrations. </w:t>
      </w:r>
      <w:r w:rsidR="0056074C" w:rsidRPr="0056074C">
        <w:rPr>
          <w:sz w:val="24"/>
          <w:szCs w:val="24"/>
        </w:rPr>
        <w:t xml:space="preserve">The Commission </w:t>
      </w:r>
      <w:r w:rsidR="0056074C">
        <w:rPr>
          <w:sz w:val="24"/>
          <w:szCs w:val="24"/>
        </w:rPr>
        <w:t>“</w:t>
      </w:r>
      <w:r w:rsidR="0056074C" w:rsidRPr="0056074C">
        <w:rPr>
          <w:sz w:val="24"/>
          <w:szCs w:val="24"/>
        </w:rPr>
        <w:t>found reasonable grounds to believe that Israeli snipers shot at journalists, health workers, children and persons with disabilities, knowing they were clearly recognizable as such.</w:t>
      </w:r>
      <w:r w:rsidR="0056074C">
        <w:rPr>
          <w:sz w:val="24"/>
          <w:szCs w:val="24"/>
        </w:rPr>
        <w:t>”</w:t>
      </w:r>
      <w:r w:rsidRPr="00CA515B">
        <w:rPr>
          <w:sz w:val="24"/>
          <w:szCs w:val="24"/>
          <w:vertAlign w:val="superscript"/>
        </w:rPr>
        <w:footnoteReference w:id="4"/>
      </w:r>
      <w:r w:rsidRPr="00CA515B">
        <w:rPr>
          <w:sz w:val="24"/>
          <w:szCs w:val="24"/>
        </w:rPr>
        <w:t xml:space="preserve"> The Council must adopt effective measures to ensure the protection of Palestinians from further </w:t>
      </w:r>
      <w:r w:rsidR="004D2DE5" w:rsidRPr="00CA515B">
        <w:rPr>
          <w:sz w:val="24"/>
          <w:szCs w:val="24"/>
        </w:rPr>
        <w:t xml:space="preserve">Israeli </w:t>
      </w:r>
      <w:r w:rsidRPr="00CA515B">
        <w:rPr>
          <w:sz w:val="24"/>
          <w:szCs w:val="24"/>
        </w:rPr>
        <w:t>assault</w:t>
      </w:r>
      <w:r w:rsidR="00D02CAD">
        <w:rPr>
          <w:sz w:val="24"/>
          <w:szCs w:val="24"/>
        </w:rPr>
        <w:t>s</w:t>
      </w:r>
      <w:r w:rsidRPr="00CA515B">
        <w:rPr>
          <w:sz w:val="24"/>
          <w:szCs w:val="24"/>
        </w:rPr>
        <w:t>, in fulfilment of resolution 40/13.</w:t>
      </w:r>
    </w:p>
    <w:p w14:paraId="5F9BCB3F" w14:textId="77777777" w:rsidR="00A96247" w:rsidRPr="00CA515B" w:rsidRDefault="00A96247" w:rsidP="0012581E">
      <w:pPr>
        <w:spacing w:before="200" w:after="200" w:line="240" w:lineRule="auto"/>
        <w:jc w:val="both"/>
        <w:rPr>
          <w:b/>
          <w:sz w:val="24"/>
          <w:szCs w:val="24"/>
        </w:rPr>
      </w:pPr>
      <w:r w:rsidRPr="00CA515B">
        <w:rPr>
          <w:b/>
          <w:sz w:val="24"/>
          <w:szCs w:val="24"/>
        </w:rPr>
        <w:t>Gaza: Uninhabitable</w:t>
      </w:r>
    </w:p>
    <w:p w14:paraId="76D10D3F" w14:textId="2B6F41F9" w:rsidR="00A96247" w:rsidRPr="00CA515B" w:rsidRDefault="00A96247" w:rsidP="00205258">
      <w:pPr>
        <w:spacing w:before="200" w:after="200" w:line="240" w:lineRule="auto"/>
        <w:jc w:val="both"/>
        <w:rPr>
          <w:sz w:val="24"/>
          <w:szCs w:val="24"/>
        </w:rPr>
      </w:pPr>
      <w:r w:rsidRPr="00CA515B">
        <w:rPr>
          <w:sz w:val="24"/>
          <w:szCs w:val="24"/>
        </w:rPr>
        <w:t xml:space="preserve">At the root of the Great Return March is Israel’s </w:t>
      </w:r>
      <w:r w:rsidR="009C555D">
        <w:rPr>
          <w:sz w:val="24"/>
          <w:szCs w:val="24"/>
        </w:rPr>
        <w:t xml:space="preserve">illegal </w:t>
      </w:r>
      <w:r w:rsidRPr="00CA515B">
        <w:rPr>
          <w:sz w:val="24"/>
          <w:szCs w:val="24"/>
        </w:rPr>
        <w:t xml:space="preserve">12-year closure of Gaza. Since 2012, UN reports have repeatedly warned that Gaza will become uninhabitable by 2020 should Israel fail to lift </w:t>
      </w:r>
      <w:r w:rsidRPr="00CA515B">
        <w:rPr>
          <w:sz w:val="24"/>
          <w:szCs w:val="24"/>
        </w:rPr>
        <w:lastRenderedPageBreak/>
        <w:t>its illegal closure.</w:t>
      </w:r>
      <w:r w:rsidRPr="00CA515B">
        <w:rPr>
          <w:sz w:val="24"/>
          <w:szCs w:val="24"/>
          <w:vertAlign w:val="superscript"/>
        </w:rPr>
        <w:footnoteReference w:id="5"/>
      </w:r>
      <w:r w:rsidRPr="00CA515B">
        <w:rPr>
          <w:sz w:val="24"/>
          <w:szCs w:val="24"/>
        </w:rPr>
        <w:t xml:space="preserve"> In practice, however, Gaza has already been uninhabitable for years. Attributable to the Israeli-imposed closure, Gaza is suffering from extreme economic decline, de-development, unparalleled levels of poverty, aid-dependency, food insecurity, </w:t>
      </w:r>
      <w:r w:rsidR="00205258">
        <w:rPr>
          <w:sz w:val="24"/>
          <w:szCs w:val="24"/>
        </w:rPr>
        <w:t xml:space="preserve">and </w:t>
      </w:r>
      <w:r w:rsidRPr="00CA515B">
        <w:rPr>
          <w:sz w:val="24"/>
          <w:szCs w:val="24"/>
        </w:rPr>
        <w:t>unemployment, and collapsing public services.</w:t>
      </w:r>
      <w:r w:rsidRPr="00CA515B">
        <w:rPr>
          <w:sz w:val="24"/>
          <w:szCs w:val="24"/>
          <w:vertAlign w:val="superscript"/>
        </w:rPr>
        <w:footnoteReference w:id="6"/>
      </w:r>
      <w:r w:rsidRPr="00CA515B">
        <w:rPr>
          <w:sz w:val="24"/>
          <w:szCs w:val="24"/>
        </w:rPr>
        <w:t xml:space="preserve"> Further, the closure hinders the ability of Palestinians in Gaza to access safe drinking water, with 95 per cent of residents not having access to clean water.</w:t>
      </w:r>
      <w:r w:rsidRPr="00CA515B">
        <w:rPr>
          <w:sz w:val="24"/>
          <w:szCs w:val="24"/>
          <w:vertAlign w:val="superscript"/>
        </w:rPr>
        <w:footnoteReference w:id="7"/>
      </w:r>
      <w:r w:rsidRPr="00CA515B">
        <w:rPr>
          <w:sz w:val="24"/>
          <w:szCs w:val="24"/>
        </w:rPr>
        <w:t xml:space="preserve"> </w:t>
      </w:r>
      <w:r w:rsidR="00205258">
        <w:rPr>
          <w:sz w:val="24"/>
          <w:szCs w:val="24"/>
        </w:rPr>
        <w:t>At the same time, i</w:t>
      </w:r>
      <w:r w:rsidR="006F6B5B" w:rsidRPr="00CA515B">
        <w:rPr>
          <w:sz w:val="24"/>
          <w:szCs w:val="24"/>
        </w:rPr>
        <w:t>n the absence</w:t>
      </w:r>
      <w:r w:rsidRPr="00CA515B">
        <w:rPr>
          <w:sz w:val="24"/>
          <w:szCs w:val="24"/>
        </w:rPr>
        <w:t xml:space="preserve"> of equipment and resources to properly treat sewage, wastewater, and solid waste, </w:t>
      </w:r>
      <w:r w:rsidR="006F6B5B" w:rsidRPr="00CA515B">
        <w:rPr>
          <w:sz w:val="24"/>
          <w:szCs w:val="24"/>
        </w:rPr>
        <w:t>Palestinians in</w:t>
      </w:r>
      <w:r w:rsidRPr="00CA515B">
        <w:rPr>
          <w:sz w:val="24"/>
          <w:szCs w:val="24"/>
        </w:rPr>
        <w:t xml:space="preserve"> Gaza are at constant risk of suffering from water pollution-spread diseases.</w:t>
      </w:r>
    </w:p>
    <w:p w14:paraId="4CF6102A" w14:textId="7F1B3D9B" w:rsidR="00A96247" w:rsidRPr="00CA515B" w:rsidRDefault="00A96247" w:rsidP="00D06991">
      <w:pPr>
        <w:spacing w:before="200" w:after="200" w:line="240" w:lineRule="auto"/>
        <w:jc w:val="both"/>
        <w:rPr>
          <w:sz w:val="24"/>
          <w:szCs w:val="24"/>
        </w:rPr>
      </w:pPr>
      <w:r w:rsidRPr="00CA515B">
        <w:rPr>
          <w:sz w:val="24"/>
          <w:szCs w:val="24"/>
        </w:rPr>
        <w:t xml:space="preserve">Israel’s closure </w:t>
      </w:r>
      <w:r w:rsidRPr="00CA515B">
        <w:rPr>
          <w:color w:val="000000" w:themeColor="text1"/>
          <w:sz w:val="24"/>
          <w:szCs w:val="24"/>
        </w:rPr>
        <w:t xml:space="preserve">regime impacts all aspects of Palestinian life in Gaza, from main contributors to Gaza’s economy, e.g. farmers and fishermen, to its most vulnerable residents, e.g. </w:t>
      </w:r>
      <w:r w:rsidR="0009425F">
        <w:rPr>
          <w:color w:val="000000" w:themeColor="text1"/>
          <w:sz w:val="24"/>
          <w:szCs w:val="24"/>
        </w:rPr>
        <w:t xml:space="preserve">medical </w:t>
      </w:r>
      <w:r w:rsidRPr="00CA515B">
        <w:rPr>
          <w:color w:val="000000" w:themeColor="text1"/>
          <w:sz w:val="24"/>
          <w:szCs w:val="24"/>
        </w:rPr>
        <w:t xml:space="preserve">patients. Integral to </w:t>
      </w:r>
      <w:r w:rsidR="003D00E9" w:rsidRPr="00CA515B">
        <w:rPr>
          <w:color w:val="000000" w:themeColor="text1"/>
          <w:sz w:val="24"/>
          <w:szCs w:val="24"/>
        </w:rPr>
        <w:t xml:space="preserve">Israel’s </w:t>
      </w:r>
      <w:r w:rsidRPr="00CA515B">
        <w:rPr>
          <w:color w:val="000000" w:themeColor="text1"/>
          <w:sz w:val="24"/>
          <w:szCs w:val="24"/>
        </w:rPr>
        <w:t xml:space="preserve">closure </w:t>
      </w:r>
      <w:r w:rsidR="004D2DE5" w:rsidRPr="00CA515B">
        <w:rPr>
          <w:color w:val="000000" w:themeColor="text1"/>
          <w:sz w:val="24"/>
          <w:szCs w:val="24"/>
        </w:rPr>
        <w:t xml:space="preserve">regime </w:t>
      </w:r>
      <w:r w:rsidRPr="00CA515B">
        <w:rPr>
          <w:sz w:val="24"/>
          <w:szCs w:val="24"/>
        </w:rPr>
        <w:t xml:space="preserve">is maintaining, with force, a territorial and maritime buffer zone in Gaza where access is entirely prohibited or severely restricted. On land, a 300-metre-wide no-go zone is enforced within Gaza’s side of the perimeter fence, yet many attacks against civilians were documented in areas as far as 1,500 metres from the fence. It is estimated that the buffer zone engulfs about 35 per cent of Gaza’s arable land, thus rendering agricultural activities a highly risky venture. In 2019, over 280 live fire and shelling attacks on farmers or farmlands were recorded, killing one farmer and injuring three. Further, Israel has </w:t>
      </w:r>
      <w:r w:rsidR="004E3DB6">
        <w:rPr>
          <w:sz w:val="24"/>
          <w:szCs w:val="24"/>
        </w:rPr>
        <w:t>used</w:t>
      </w:r>
      <w:r w:rsidRPr="00CA515B">
        <w:rPr>
          <w:sz w:val="24"/>
          <w:szCs w:val="24"/>
        </w:rPr>
        <w:t xml:space="preserve"> crop-duster planes to aerially spray herbicides to kill vegetation across the perimeter fence</w:t>
      </w:r>
      <w:r w:rsidR="004E3DB6">
        <w:rPr>
          <w:sz w:val="24"/>
          <w:szCs w:val="24"/>
        </w:rPr>
        <w:t>,</w:t>
      </w:r>
      <w:r w:rsidRPr="00CA515B">
        <w:rPr>
          <w:sz w:val="24"/>
          <w:szCs w:val="24"/>
        </w:rPr>
        <w:t xml:space="preserve"> taking advantage of westward-blowing winds carry</w:t>
      </w:r>
      <w:r w:rsidR="004E3DB6">
        <w:rPr>
          <w:sz w:val="24"/>
          <w:szCs w:val="24"/>
        </w:rPr>
        <w:t>ing</w:t>
      </w:r>
      <w:r w:rsidRPr="00CA515B">
        <w:rPr>
          <w:sz w:val="24"/>
          <w:szCs w:val="24"/>
        </w:rPr>
        <w:t xml:space="preserve"> the potent chemicals at least 600 metres into the Gaza Strip. The most recent incidents of spraying took place sporadically from 14 to 16 January 2020, with damages to crops and soil yet to be assessed.</w:t>
      </w:r>
      <w:r w:rsidRPr="00CA515B">
        <w:rPr>
          <w:rStyle w:val="FootnoteReference"/>
          <w:sz w:val="24"/>
          <w:szCs w:val="24"/>
          <w:vertAlign w:val="superscript"/>
        </w:rPr>
        <w:footnoteReference w:id="8"/>
      </w:r>
      <w:r w:rsidR="004D2DE5" w:rsidRPr="00CA515B">
        <w:rPr>
          <w:sz w:val="24"/>
          <w:szCs w:val="24"/>
        </w:rPr>
        <w:t xml:space="preserve"> </w:t>
      </w:r>
      <w:r w:rsidRPr="00CA515B">
        <w:rPr>
          <w:sz w:val="24"/>
          <w:szCs w:val="24"/>
        </w:rPr>
        <w:t>In the sea, Gaza’s fishermen endure constant harassment, arrest, shooting</w:t>
      </w:r>
      <w:r w:rsidR="004628BE" w:rsidRPr="00CA515B">
        <w:rPr>
          <w:sz w:val="24"/>
          <w:szCs w:val="24"/>
        </w:rPr>
        <w:t>,</w:t>
      </w:r>
      <w:r w:rsidRPr="00CA515B">
        <w:rPr>
          <w:sz w:val="24"/>
          <w:szCs w:val="24"/>
        </w:rPr>
        <w:t xml:space="preserve"> and seizure of fishing boats. Israeli forces opened fire towards Palestinian fishing boats on 347 separate incidents in 2019, injuring 16 fishermen, including two children.</w:t>
      </w:r>
    </w:p>
    <w:p w14:paraId="16D6F2DA" w14:textId="53177172" w:rsidR="00A96247" w:rsidRPr="00CA515B" w:rsidRDefault="00A96247" w:rsidP="00D06991">
      <w:pPr>
        <w:spacing w:before="200" w:after="200" w:line="240" w:lineRule="auto"/>
        <w:jc w:val="both"/>
        <w:rPr>
          <w:sz w:val="24"/>
          <w:szCs w:val="24"/>
        </w:rPr>
      </w:pPr>
      <w:r w:rsidRPr="00CA515B">
        <w:rPr>
          <w:sz w:val="24"/>
          <w:szCs w:val="24"/>
        </w:rPr>
        <w:t xml:space="preserve">Israel’s closure has </w:t>
      </w:r>
      <w:r w:rsidR="006F6B5B" w:rsidRPr="00CA515B">
        <w:rPr>
          <w:sz w:val="24"/>
          <w:szCs w:val="24"/>
        </w:rPr>
        <w:t>led to</w:t>
      </w:r>
      <w:r w:rsidRPr="00CA515B">
        <w:rPr>
          <w:sz w:val="24"/>
          <w:szCs w:val="24"/>
        </w:rPr>
        <w:t xml:space="preserve"> </w:t>
      </w:r>
      <w:r w:rsidR="006F6B5B" w:rsidRPr="00CA515B">
        <w:rPr>
          <w:sz w:val="24"/>
          <w:szCs w:val="24"/>
        </w:rPr>
        <w:t xml:space="preserve">a </w:t>
      </w:r>
      <w:r w:rsidRPr="00CA515B">
        <w:rPr>
          <w:sz w:val="24"/>
          <w:szCs w:val="24"/>
        </w:rPr>
        <w:t xml:space="preserve">steep decline </w:t>
      </w:r>
      <w:r w:rsidR="006F6B5B" w:rsidRPr="00CA515B">
        <w:rPr>
          <w:sz w:val="24"/>
          <w:szCs w:val="24"/>
        </w:rPr>
        <w:t xml:space="preserve">in </w:t>
      </w:r>
      <w:r w:rsidRPr="00CA515B">
        <w:rPr>
          <w:sz w:val="24"/>
          <w:szCs w:val="24"/>
        </w:rPr>
        <w:t xml:space="preserve">Gaza’s health sector and the unavailability of specialized medical services, which have increased the need for patients to be referred for treatment to more advanced facilities outside of Gaza. In 2019, </w:t>
      </w:r>
      <w:r w:rsidR="00030F58">
        <w:rPr>
          <w:sz w:val="24"/>
          <w:szCs w:val="24"/>
        </w:rPr>
        <w:t xml:space="preserve">Palestinian </w:t>
      </w:r>
      <w:r w:rsidRPr="00CA515B">
        <w:rPr>
          <w:sz w:val="24"/>
          <w:szCs w:val="24"/>
        </w:rPr>
        <w:t xml:space="preserve">patients submitted over 24,000 applications (30 per cent for child patients) to exit Gaza for treatment in Israel and the West Bank, including East Jerusalem, of which at least 8,300 applications (including around 2,000 submitted for child patients) were not granted approval. </w:t>
      </w:r>
      <w:r w:rsidR="00495710">
        <w:rPr>
          <w:sz w:val="24"/>
          <w:szCs w:val="24"/>
        </w:rPr>
        <w:t>O</w:t>
      </w:r>
      <w:r w:rsidRPr="00CA515B">
        <w:rPr>
          <w:sz w:val="24"/>
          <w:szCs w:val="24"/>
        </w:rPr>
        <w:t>f the 24,000 applications, at least 7,000 were submitted by oncology patient</w:t>
      </w:r>
      <w:r w:rsidR="0009425F">
        <w:rPr>
          <w:sz w:val="24"/>
          <w:szCs w:val="24"/>
        </w:rPr>
        <w:t>s</w:t>
      </w:r>
      <w:r w:rsidR="00D06991">
        <w:rPr>
          <w:sz w:val="24"/>
          <w:szCs w:val="24"/>
        </w:rPr>
        <w:t>. A</w:t>
      </w:r>
      <w:r w:rsidRPr="00CA515B">
        <w:rPr>
          <w:sz w:val="24"/>
          <w:szCs w:val="24"/>
        </w:rPr>
        <w:t>round 25 per cent of these applications were not approved in 2019.</w:t>
      </w:r>
      <w:r w:rsidRPr="00CA515B">
        <w:rPr>
          <w:rStyle w:val="FootnoteReference"/>
          <w:color w:val="000000" w:themeColor="text1"/>
          <w:sz w:val="24"/>
          <w:szCs w:val="24"/>
          <w:vertAlign w:val="superscript"/>
        </w:rPr>
        <w:footnoteReference w:id="9"/>
      </w:r>
    </w:p>
    <w:p w14:paraId="65F509C8" w14:textId="77777777" w:rsidR="00A96247" w:rsidRPr="00CA515B" w:rsidRDefault="00A96247" w:rsidP="0012581E">
      <w:pPr>
        <w:tabs>
          <w:tab w:val="left" w:pos="3923"/>
        </w:tabs>
        <w:spacing w:before="200" w:after="200" w:line="240" w:lineRule="auto"/>
        <w:jc w:val="both"/>
        <w:rPr>
          <w:b/>
          <w:sz w:val="24"/>
          <w:szCs w:val="24"/>
        </w:rPr>
      </w:pPr>
      <w:r w:rsidRPr="00CA515B">
        <w:rPr>
          <w:b/>
          <w:sz w:val="24"/>
          <w:szCs w:val="24"/>
        </w:rPr>
        <w:t>Urgent Need to Lift the Closure and Fulfil Resolution 40/13</w:t>
      </w:r>
    </w:p>
    <w:p w14:paraId="04852702" w14:textId="167E8439" w:rsidR="00A96247" w:rsidRPr="00CA515B" w:rsidRDefault="00A96247" w:rsidP="008150E2">
      <w:pPr>
        <w:spacing w:before="200" w:after="200" w:line="240" w:lineRule="auto"/>
        <w:jc w:val="both"/>
        <w:rPr>
          <w:sz w:val="24"/>
          <w:szCs w:val="24"/>
        </w:rPr>
      </w:pPr>
      <w:r w:rsidRPr="00CA515B">
        <w:rPr>
          <w:bCs/>
          <w:sz w:val="24"/>
          <w:szCs w:val="24"/>
        </w:rPr>
        <w:t>Within a context of prolonged Nakba and occupation, Israel’s 12-year closure of Gaza denies the Palestinian people their means of subsistence and entrenches a perpetual denial of their inalienable rights, including to a life of dignity and to the highest attainable standard of health.</w:t>
      </w:r>
      <w:r w:rsidRPr="00CA515B">
        <w:rPr>
          <w:b/>
          <w:sz w:val="24"/>
          <w:szCs w:val="24"/>
        </w:rPr>
        <w:t xml:space="preserve"> </w:t>
      </w:r>
      <w:r w:rsidRPr="00CA515B">
        <w:rPr>
          <w:sz w:val="24"/>
          <w:szCs w:val="24"/>
        </w:rPr>
        <w:t xml:space="preserve">Facilitating these illegal policies and practices is a framework that is designed to produce impunity and prevent Palestinians from effectively challenging </w:t>
      </w:r>
      <w:r w:rsidR="0088782C" w:rsidRPr="00470C91">
        <w:rPr>
          <w:sz w:val="24"/>
          <w:szCs w:val="24"/>
        </w:rPr>
        <w:t xml:space="preserve">the legal </w:t>
      </w:r>
      <w:r w:rsidRPr="00470C91">
        <w:rPr>
          <w:sz w:val="24"/>
          <w:szCs w:val="24"/>
        </w:rPr>
        <w:t>regime</w:t>
      </w:r>
      <w:r w:rsidR="00DC61A1" w:rsidRPr="00470C91">
        <w:rPr>
          <w:sz w:val="24"/>
          <w:szCs w:val="24"/>
        </w:rPr>
        <w:t xml:space="preserve"> maintained by Israel</w:t>
      </w:r>
      <w:r w:rsidR="0088782C" w:rsidRPr="00470C91">
        <w:rPr>
          <w:sz w:val="24"/>
          <w:szCs w:val="24"/>
        </w:rPr>
        <w:t xml:space="preserve">, </w:t>
      </w:r>
      <w:r w:rsidR="008150E2" w:rsidRPr="00470C91">
        <w:rPr>
          <w:sz w:val="24"/>
          <w:szCs w:val="24"/>
        </w:rPr>
        <w:t xml:space="preserve">which amounts to </w:t>
      </w:r>
      <w:r w:rsidR="003E77B0" w:rsidRPr="00470C91">
        <w:rPr>
          <w:sz w:val="24"/>
          <w:szCs w:val="24"/>
        </w:rPr>
        <w:t>apartheid</w:t>
      </w:r>
      <w:r w:rsidR="008150E2" w:rsidRPr="00470C91">
        <w:rPr>
          <w:sz w:val="24"/>
          <w:szCs w:val="24"/>
        </w:rPr>
        <w:t xml:space="preserve"> </w:t>
      </w:r>
      <w:r w:rsidR="0088782C" w:rsidRPr="00470C91">
        <w:rPr>
          <w:sz w:val="24"/>
          <w:szCs w:val="24"/>
        </w:rPr>
        <w:t xml:space="preserve">within the meaning of </w:t>
      </w:r>
      <w:r w:rsidR="005D20D5" w:rsidRPr="00470C91">
        <w:rPr>
          <w:sz w:val="24"/>
          <w:szCs w:val="24"/>
        </w:rPr>
        <w:t>the Rome S</w:t>
      </w:r>
      <w:r w:rsidR="0088782C" w:rsidRPr="00470C91">
        <w:rPr>
          <w:sz w:val="24"/>
          <w:szCs w:val="24"/>
        </w:rPr>
        <w:t>tatute</w:t>
      </w:r>
      <w:r w:rsidR="005D20D5" w:rsidRPr="00470C91">
        <w:rPr>
          <w:sz w:val="24"/>
          <w:szCs w:val="24"/>
        </w:rPr>
        <w:t xml:space="preserve"> of the International Criminal Court</w:t>
      </w:r>
      <w:r w:rsidRPr="00470C91">
        <w:rPr>
          <w:sz w:val="24"/>
          <w:szCs w:val="24"/>
        </w:rPr>
        <w:t>.</w:t>
      </w:r>
      <w:r w:rsidRPr="00470C91">
        <w:rPr>
          <w:sz w:val="24"/>
          <w:szCs w:val="24"/>
          <w:vertAlign w:val="superscript"/>
        </w:rPr>
        <w:footnoteReference w:id="10"/>
      </w:r>
      <w:bookmarkStart w:id="0" w:name="_GoBack"/>
      <w:bookmarkEnd w:id="0"/>
      <w:r w:rsidR="00FB59EE" w:rsidRPr="0003524B">
        <w:rPr>
          <w:sz w:val="24"/>
          <w:szCs w:val="24"/>
        </w:rPr>
        <w:t xml:space="preserve"> </w:t>
      </w:r>
      <w:r w:rsidRPr="0003524B">
        <w:rPr>
          <w:sz w:val="24"/>
          <w:szCs w:val="24"/>
        </w:rPr>
        <w:t>I</w:t>
      </w:r>
      <w:r w:rsidRPr="00CA515B">
        <w:rPr>
          <w:sz w:val="24"/>
          <w:szCs w:val="24"/>
        </w:rPr>
        <w:t xml:space="preserve">n resolution </w:t>
      </w:r>
      <w:r w:rsidRPr="00CA515B">
        <w:rPr>
          <w:sz w:val="24"/>
          <w:szCs w:val="24"/>
        </w:rPr>
        <w:lastRenderedPageBreak/>
        <w:t>40/13, the Council requested the Office of the High Commissioner for Human Rights (OHCHR) to “follow up on the implementation of the recommendations contained in the report of the commission of inquiry,”</w:t>
      </w:r>
      <w:r w:rsidRPr="00CA515B">
        <w:rPr>
          <w:sz w:val="24"/>
          <w:szCs w:val="24"/>
          <w:vertAlign w:val="superscript"/>
        </w:rPr>
        <w:footnoteReference w:id="11"/>
      </w:r>
      <w:r w:rsidRPr="00CA515B">
        <w:rPr>
          <w:sz w:val="24"/>
          <w:szCs w:val="24"/>
        </w:rPr>
        <w:t xml:space="preserve"> including to lift the Gaza closure with immediate effect and to fulfil the right to health of Palestinians.</w:t>
      </w:r>
      <w:r w:rsidRPr="00CA515B">
        <w:rPr>
          <w:sz w:val="24"/>
          <w:szCs w:val="24"/>
          <w:vertAlign w:val="superscript"/>
        </w:rPr>
        <w:footnoteReference w:id="12"/>
      </w:r>
      <w:r w:rsidRPr="00CA515B">
        <w:rPr>
          <w:sz w:val="24"/>
          <w:szCs w:val="24"/>
        </w:rPr>
        <w:t xml:space="preserve"> Accordingly, we call on the Council and all UN Member States to:</w:t>
      </w:r>
    </w:p>
    <w:p w14:paraId="03363A0B" w14:textId="1FF09FC1" w:rsidR="00A96247" w:rsidRPr="00CA515B" w:rsidRDefault="00A96247" w:rsidP="00D06991">
      <w:pPr>
        <w:numPr>
          <w:ilvl w:val="0"/>
          <w:numId w:val="10"/>
        </w:numPr>
        <w:suppressAutoHyphens w:val="0"/>
        <w:spacing w:before="200" w:after="200" w:line="240" w:lineRule="auto"/>
        <w:jc w:val="both"/>
        <w:rPr>
          <w:sz w:val="24"/>
          <w:szCs w:val="24"/>
        </w:rPr>
      </w:pPr>
      <w:r w:rsidRPr="00CA515B">
        <w:rPr>
          <w:sz w:val="24"/>
          <w:szCs w:val="24"/>
        </w:rPr>
        <w:t xml:space="preserve">Address the root causes of the Great Return March by calling for an immediate end to the Gaza closure and upholding the right of </w:t>
      </w:r>
      <w:r w:rsidR="00D06991">
        <w:rPr>
          <w:sz w:val="24"/>
          <w:szCs w:val="24"/>
        </w:rPr>
        <w:t xml:space="preserve">all </w:t>
      </w:r>
      <w:r w:rsidRPr="00CA515B">
        <w:rPr>
          <w:sz w:val="24"/>
          <w:szCs w:val="24"/>
        </w:rPr>
        <w:t>Palestinians to life, health, and freedom of peaceful assembly;</w:t>
      </w:r>
    </w:p>
    <w:p w14:paraId="525D61F5" w14:textId="6D2D71CC" w:rsidR="00A96247" w:rsidRPr="00CA515B" w:rsidRDefault="00A96247" w:rsidP="00D06991">
      <w:pPr>
        <w:numPr>
          <w:ilvl w:val="0"/>
          <w:numId w:val="10"/>
        </w:numPr>
        <w:suppressAutoHyphens w:val="0"/>
        <w:spacing w:before="200" w:after="200" w:line="240" w:lineRule="auto"/>
        <w:jc w:val="both"/>
        <w:rPr>
          <w:sz w:val="24"/>
          <w:szCs w:val="24"/>
        </w:rPr>
      </w:pPr>
      <w:r w:rsidRPr="00CA515B">
        <w:rPr>
          <w:sz w:val="24"/>
          <w:szCs w:val="24"/>
        </w:rPr>
        <w:t xml:space="preserve">Call on OHCHR to adopt effective measures and to set a clear time frame for the implementation, without delay, of the Commission’s recommendations, in </w:t>
      </w:r>
      <w:r w:rsidR="00BF6FEA">
        <w:rPr>
          <w:sz w:val="24"/>
          <w:szCs w:val="24"/>
        </w:rPr>
        <w:t>fulfilment of</w:t>
      </w:r>
      <w:r w:rsidRPr="00CA515B">
        <w:rPr>
          <w:sz w:val="24"/>
          <w:szCs w:val="24"/>
        </w:rPr>
        <w:t xml:space="preserve"> resolution 40/13;</w:t>
      </w:r>
    </w:p>
    <w:p w14:paraId="6383C30E" w14:textId="03739247" w:rsidR="00A96247" w:rsidRPr="00CA515B" w:rsidRDefault="00A96247" w:rsidP="00D06991">
      <w:pPr>
        <w:numPr>
          <w:ilvl w:val="0"/>
          <w:numId w:val="10"/>
        </w:numPr>
        <w:suppressAutoHyphens w:val="0"/>
        <w:spacing w:before="200" w:after="200" w:line="240" w:lineRule="auto"/>
        <w:jc w:val="both"/>
        <w:rPr>
          <w:sz w:val="24"/>
          <w:szCs w:val="24"/>
        </w:rPr>
      </w:pPr>
      <w:r w:rsidRPr="00CA515B">
        <w:rPr>
          <w:sz w:val="24"/>
          <w:szCs w:val="24"/>
        </w:rPr>
        <w:t>Pursue international justice and accountability for widespread and systematic human rights violations committed against the Palestinian people, including suspected crimes, and uphold third State responsibility with regard to penal sanctions for grave breaches of international law committed against the Palestinian people.</w:t>
      </w:r>
      <w:r w:rsidRPr="00CA515B">
        <w:rPr>
          <w:sz w:val="24"/>
          <w:szCs w:val="24"/>
          <w:vertAlign w:val="superscript"/>
        </w:rPr>
        <w:footnoteReference w:id="13"/>
      </w:r>
    </w:p>
    <w:p w14:paraId="50DED2C4" w14:textId="77777777" w:rsidR="00110F15" w:rsidRPr="00CA515B" w:rsidRDefault="00110F15" w:rsidP="0012581E">
      <w:pPr>
        <w:spacing w:before="240" w:line="240" w:lineRule="auto"/>
        <w:ind w:left="1134" w:right="1134"/>
        <w:jc w:val="center"/>
        <w:rPr>
          <w:u w:val="single"/>
        </w:rPr>
      </w:pPr>
      <w:r w:rsidRPr="00CA515B">
        <w:rPr>
          <w:bCs/>
          <w:u w:val="single"/>
        </w:rPr>
        <w:tab/>
      </w:r>
      <w:r w:rsidRPr="00CA515B">
        <w:rPr>
          <w:bCs/>
          <w:u w:val="single"/>
        </w:rPr>
        <w:tab/>
      </w:r>
      <w:r w:rsidRPr="00CA515B">
        <w:rPr>
          <w:bCs/>
          <w:u w:val="single"/>
        </w:rPr>
        <w:tab/>
      </w:r>
    </w:p>
    <w:p w14:paraId="0F488B83" w14:textId="77777777" w:rsidR="003C23EE" w:rsidRPr="00CA515B" w:rsidRDefault="001255EC" w:rsidP="00993475">
      <w:pPr>
        <w:spacing w:before="200" w:line="240" w:lineRule="auto"/>
        <w:jc w:val="both"/>
      </w:pPr>
      <w:r w:rsidRPr="00CA515B">
        <w:t>ADDAMEER Prisoner Support and Human Rights Association, Al Dameer Association for Human Rights, Civic Coalition for Palestinian Rights in Jerusalem, Community Action Center (Al-Quds University), Jerusalem Legal Aid and Human Rights Center, and Ramallah Center for Human Rights Studies, NGO(s) without consultative status, also share the views expressed in this statement.</w:t>
      </w:r>
    </w:p>
    <w:sectPr w:rsidR="003C23EE" w:rsidRPr="00CA515B" w:rsidSect="0015766B">
      <w:headerReference w:type="even" r:id="rId9"/>
      <w:headerReference w:type="default" r:id="rId10"/>
      <w:footerReference w:type="even" r:id="rId11"/>
      <w:footerReference w:type="default" r:id="rId12"/>
      <w:footerReference w:type="first" r:id="rId13"/>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161D3" w14:textId="77777777" w:rsidR="00082F2B" w:rsidRDefault="00082F2B"/>
  </w:endnote>
  <w:endnote w:type="continuationSeparator" w:id="0">
    <w:p w14:paraId="7B54CDBA" w14:textId="77777777" w:rsidR="00082F2B" w:rsidRDefault="00082F2B"/>
  </w:endnote>
  <w:endnote w:type="continuationNotice" w:id="1">
    <w:p w14:paraId="6E9E0F27" w14:textId="77777777" w:rsidR="00082F2B" w:rsidRDefault="00082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91E6F" w14:textId="77777777" w:rsidR="00DE779E" w:rsidRPr="0015766B" w:rsidRDefault="00331619" w:rsidP="0015766B">
    <w:pPr>
      <w:pStyle w:val="Footer"/>
      <w:tabs>
        <w:tab w:val="right" w:pos="9638"/>
      </w:tabs>
    </w:pPr>
    <w:r w:rsidRPr="0015766B">
      <w:rPr>
        <w:b/>
        <w:sz w:val="18"/>
      </w:rPr>
      <w:fldChar w:fldCharType="begin"/>
    </w:r>
    <w:r w:rsidR="00DE779E" w:rsidRPr="0015766B">
      <w:rPr>
        <w:b/>
        <w:sz w:val="18"/>
      </w:rPr>
      <w:instrText xml:space="preserve"> PAGE  \* MERGEFORMAT </w:instrText>
    </w:r>
    <w:r w:rsidRPr="0015766B">
      <w:rPr>
        <w:b/>
        <w:sz w:val="18"/>
      </w:rPr>
      <w:fldChar w:fldCharType="separate"/>
    </w:r>
    <w:r w:rsidR="008D1360">
      <w:rPr>
        <w:b/>
        <w:noProof/>
        <w:sz w:val="18"/>
      </w:rPr>
      <w:t>2</w:t>
    </w:r>
    <w:r w:rsidRPr="0015766B">
      <w:rPr>
        <w:b/>
        <w:sz w:val="18"/>
      </w:rPr>
      <w:fldChar w:fldCharType="end"/>
    </w:r>
    <w:r w:rsidR="00DE779E">
      <w:rPr>
        <w:sz w:val="18"/>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51540" w14:textId="77777777" w:rsidR="00DE779E" w:rsidRPr="0015766B" w:rsidRDefault="00DE779E" w:rsidP="0015766B">
    <w:pPr>
      <w:pStyle w:val="Footer"/>
      <w:tabs>
        <w:tab w:val="right" w:pos="9638"/>
      </w:tabs>
      <w:rPr>
        <w:b/>
        <w:sz w:val="18"/>
      </w:rPr>
    </w:pPr>
    <w:r>
      <w:tab/>
    </w:r>
    <w:r w:rsidR="00331619" w:rsidRPr="0015766B">
      <w:rPr>
        <w:b/>
        <w:sz w:val="18"/>
      </w:rPr>
      <w:fldChar w:fldCharType="begin"/>
    </w:r>
    <w:r w:rsidRPr="0015766B">
      <w:rPr>
        <w:b/>
        <w:sz w:val="18"/>
      </w:rPr>
      <w:instrText xml:space="preserve"> PAGE  \* MERGEFORMAT </w:instrText>
    </w:r>
    <w:r w:rsidR="00331619" w:rsidRPr="0015766B">
      <w:rPr>
        <w:b/>
        <w:sz w:val="18"/>
      </w:rPr>
      <w:fldChar w:fldCharType="separate"/>
    </w:r>
    <w:r w:rsidR="00470C91">
      <w:rPr>
        <w:b/>
        <w:noProof/>
        <w:sz w:val="18"/>
      </w:rPr>
      <w:t>3</w:t>
    </w:r>
    <w:r w:rsidR="00331619" w:rsidRPr="0015766B">
      <w:rPr>
        <w:b/>
        <w:sz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3090F" w14:textId="77777777" w:rsidR="00DE779E" w:rsidRPr="0015766B" w:rsidRDefault="00DE779E" w:rsidP="00542574"/>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DEC5B" w14:textId="77777777" w:rsidR="00082F2B" w:rsidRPr="000B175B" w:rsidRDefault="00082F2B" w:rsidP="00A96247">
      <w:pPr>
        <w:tabs>
          <w:tab w:val="right" w:pos="2155"/>
        </w:tabs>
        <w:spacing w:after="80"/>
        <w:rPr>
          <w:u w:val="single"/>
        </w:rPr>
      </w:pPr>
      <w:r>
        <w:rPr>
          <w:u w:val="single"/>
        </w:rPr>
        <w:tab/>
      </w:r>
    </w:p>
  </w:footnote>
  <w:footnote w:type="continuationSeparator" w:id="0">
    <w:p w14:paraId="3DDFFF7D" w14:textId="77777777" w:rsidR="00082F2B" w:rsidRPr="00FC68B7" w:rsidRDefault="00082F2B" w:rsidP="00A96247">
      <w:pPr>
        <w:tabs>
          <w:tab w:val="left" w:pos="2155"/>
        </w:tabs>
        <w:spacing w:after="80"/>
        <w:rPr>
          <w:u w:val="single"/>
        </w:rPr>
      </w:pPr>
      <w:r>
        <w:rPr>
          <w:u w:val="single"/>
        </w:rPr>
        <w:tab/>
      </w:r>
    </w:p>
  </w:footnote>
  <w:footnote w:type="continuationNotice" w:id="1">
    <w:p w14:paraId="5B87B8A5" w14:textId="77777777" w:rsidR="00082F2B" w:rsidRDefault="00082F2B"/>
  </w:footnote>
  <w:footnote w:id="2">
    <w:p w14:paraId="087DEA40" w14:textId="77777777" w:rsidR="00D20AD6" w:rsidRPr="005D20D5" w:rsidRDefault="00D20AD6" w:rsidP="005D20D5">
      <w:pPr>
        <w:pStyle w:val="FootnoteText"/>
        <w:tabs>
          <w:tab w:val="clear" w:pos="1021"/>
        </w:tabs>
        <w:spacing w:after="80"/>
        <w:ind w:left="0" w:right="14" w:firstLine="0"/>
        <w:rPr>
          <w:sz w:val="20"/>
          <w:lang w:val="en-US"/>
        </w:rPr>
      </w:pPr>
      <w:r w:rsidRPr="005D20D5">
        <w:rPr>
          <w:rStyle w:val="FootnoteReference"/>
          <w:sz w:val="20"/>
          <w:lang w:val="en-US"/>
        </w:rPr>
        <w:tab/>
        <w:t>*</w:t>
      </w:r>
      <w:r w:rsidRPr="005D20D5">
        <w:rPr>
          <w:rStyle w:val="FootnoteReference"/>
          <w:sz w:val="20"/>
          <w:lang w:val="en-US"/>
        </w:rPr>
        <w:tab/>
      </w:r>
      <w:r w:rsidRPr="005D20D5">
        <w:rPr>
          <w:sz w:val="20"/>
          <w:lang w:val="en-US"/>
        </w:rPr>
        <w:t>Issued as received, in the language(s) of submission only.</w:t>
      </w:r>
    </w:p>
  </w:footnote>
  <w:footnote w:id="3">
    <w:p w14:paraId="648F982C" w14:textId="77777777" w:rsidR="00A96247" w:rsidRPr="005D20D5" w:rsidRDefault="00A96247" w:rsidP="005D20D5">
      <w:pPr>
        <w:spacing w:after="80" w:line="20" w:lineRule="atLeast"/>
        <w:ind w:right="14"/>
        <w:rPr>
          <w:i/>
          <w:iCs/>
        </w:rPr>
      </w:pPr>
      <w:r w:rsidRPr="005D20D5">
        <w:rPr>
          <w:vertAlign w:val="superscript"/>
        </w:rPr>
        <w:footnoteRef/>
      </w:r>
      <w:r w:rsidRPr="005D20D5">
        <w:t xml:space="preserve"> A/HRC/RES/40/13;</w:t>
      </w:r>
      <w:r w:rsidR="00B64018" w:rsidRPr="005D20D5">
        <w:t xml:space="preserve"> </w:t>
      </w:r>
      <w:r w:rsidRPr="005D20D5">
        <w:t>A/HRC/40/74, paras. 119 and 122</w:t>
      </w:r>
      <w:r w:rsidR="00382115" w:rsidRPr="005D20D5">
        <w:t>.</w:t>
      </w:r>
    </w:p>
  </w:footnote>
  <w:footnote w:id="4">
    <w:p w14:paraId="06ED0EF5" w14:textId="7E03F5C6" w:rsidR="00A96247" w:rsidRPr="005D20D5" w:rsidRDefault="00A96247" w:rsidP="0056074C">
      <w:pPr>
        <w:tabs>
          <w:tab w:val="center" w:pos="4812"/>
        </w:tabs>
        <w:spacing w:after="80" w:line="20" w:lineRule="atLeast"/>
        <w:ind w:right="14"/>
      </w:pPr>
      <w:r w:rsidRPr="005D20D5">
        <w:rPr>
          <w:vertAlign w:val="superscript"/>
        </w:rPr>
        <w:footnoteRef/>
      </w:r>
      <w:r w:rsidRPr="005D20D5">
        <w:t xml:space="preserve"> </w:t>
      </w:r>
      <w:r w:rsidR="0056074C">
        <w:t>OHCHR, “</w:t>
      </w:r>
      <w:r w:rsidR="0056074C" w:rsidRPr="0056074C">
        <w:t>No Justification for Israel to Shoot Protesters with Live Ammunition</w:t>
      </w:r>
      <w:r w:rsidR="0056074C">
        <w:t xml:space="preserve">,” 28 February 2019, available at: </w:t>
      </w:r>
      <w:hyperlink r:id="rId1" w:history="1">
        <w:r w:rsidR="006959C6" w:rsidRPr="006959C6">
          <w:rPr>
            <w:color w:val="0000FF"/>
            <w:u w:val="single"/>
          </w:rPr>
          <w:t>https://www.ohchr.org/EN/HRBodies/HRC/Pages/NewsDetail.aspx?NewsID=24226&amp;LangID=E</w:t>
        </w:r>
      </w:hyperlink>
      <w:r w:rsidR="006959C6" w:rsidRPr="005D20D5">
        <w:t>.</w:t>
      </w:r>
    </w:p>
  </w:footnote>
  <w:footnote w:id="5">
    <w:p w14:paraId="106FFB98" w14:textId="77777777" w:rsidR="00A96247" w:rsidRPr="005D20D5" w:rsidRDefault="00A96247" w:rsidP="005D20D5">
      <w:pPr>
        <w:spacing w:after="80" w:line="20" w:lineRule="atLeast"/>
        <w:ind w:right="14"/>
        <w:rPr>
          <w:lang w:val="en-US"/>
        </w:rPr>
      </w:pPr>
      <w:r w:rsidRPr="005D20D5">
        <w:rPr>
          <w:vertAlign w:val="superscript"/>
        </w:rPr>
        <w:footnoteRef/>
      </w:r>
      <w:r w:rsidRPr="005D20D5">
        <w:t xml:space="preserve"> </w:t>
      </w:r>
      <w:r w:rsidR="003D00E9" w:rsidRPr="005D20D5">
        <w:t>E</w:t>
      </w:r>
      <w:r w:rsidRPr="005D20D5">
        <w:t>.g., UN</w:t>
      </w:r>
      <w:r w:rsidR="006F6B5B" w:rsidRPr="005D20D5">
        <w:t>CT oPt</w:t>
      </w:r>
      <w:r w:rsidRPr="005D20D5">
        <w:t>, “Gaza in 2020: A Liveable Place?,” August 2012</w:t>
      </w:r>
      <w:r w:rsidR="00382115" w:rsidRPr="005D20D5">
        <w:t>;</w:t>
      </w:r>
      <w:r w:rsidRPr="005D20D5">
        <w:t xml:space="preserve"> UNCTAD, Report on UNCTAD assistance to the Palestinian people, 6 July 2015, UN Doc. TD/B/62/3.</w:t>
      </w:r>
    </w:p>
  </w:footnote>
  <w:footnote w:id="6">
    <w:p w14:paraId="3313B921" w14:textId="77777777" w:rsidR="00A96247" w:rsidRPr="005D20D5" w:rsidRDefault="00A96247" w:rsidP="005D20D5">
      <w:pPr>
        <w:spacing w:after="80" w:line="20" w:lineRule="atLeast"/>
        <w:ind w:right="14"/>
      </w:pPr>
      <w:r w:rsidRPr="005D20D5">
        <w:rPr>
          <w:vertAlign w:val="superscript"/>
        </w:rPr>
        <w:footnoteRef/>
      </w:r>
      <w:r w:rsidRPr="005D20D5">
        <w:t xml:space="preserve"> </w:t>
      </w:r>
      <w:r w:rsidR="006F6B5B" w:rsidRPr="005D20D5">
        <w:t>UNCT oPt</w:t>
      </w:r>
      <w:r w:rsidRPr="005D20D5">
        <w:t xml:space="preserve">, “Gaza Ten Years Later,” July 2017, p. 13: </w:t>
      </w:r>
      <w:hyperlink r:id="rId2" w:history="1">
        <w:r w:rsidRPr="005D20D5">
          <w:rPr>
            <w:color w:val="0000FF"/>
            <w:u w:val="single"/>
          </w:rPr>
          <w:t>https://unsco.unmissions.org/sites/default/files/gaza_10_years_later_-_11_july_2017.pdf</w:t>
        </w:r>
      </w:hyperlink>
      <w:r w:rsidRPr="005D20D5">
        <w:rPr>
          <w:rStyle w:val="Hyperlink"/>
        </w:rPr>
        <w:t>.</w:t>
      </w:r>
    </w:p>
  </w:footnote>
  <w:footnote w:id="7">
    <w:p w14:paraId="16B208B3" w14:textId="77777777" w:rsidR="00A96247" w:rsidRPr="005D20D5" w:rsidRDefault="00A96247" w:rsidP="005D20D5">
      <w:pPr>
        <w:spacing w:after="80" w:line="20" w:lineRule="atLeast"/>
        <w:ind w:right="14"/>
      </w:pPr>
      <w:r w:rsidRPr="005D20D5">
        <w:rPr>
          <w:vertAlign w:val="superscript"/>
        </w:rPr>
        <w:footnoteRef/>
      </w:r>
      <w:r w:rsidRPr="005D20D5">
        <w:t xml:space="preserve"> UNRWA, “Where We Work,” January 2018: </w:t>
      </w:r>
      <w:hyperlink r:id="rId3" w:history="1">
        <w:r w:rsidRPr="005D20D5">
          <w:rPr>
            <w:color w:val="0000FF"/>
            <w:u w:val="single"/>
          </w:rPr>
          <w:t>https://www.unrwa.org/where-we-work/gaza-strip</w:t>
        </w:r>
      </w:hyperlink>
      <w:r w:rsidRPr="005D20D5">
        <w:rPr>
          <w:rStyle w:val="Hyperlink"/>
        </w:rPr>
        <w:t>.</w:t>
      </w:r>
    </w:p>
  </w:footnote>
  <w:footnote w:id="8">
    <w:p w14:paraId="6E104CD2" w14:textId="77777777" w:rsidR="00A96247" w:rsidRPr="005D20D5" w:rsidRDefault="00A96247" w:rsidP="005D20D5">
      <w:pPr>
        <w:pStyle w:val="FootnoteText"/>
        <w:tabs>
          <w:tab w:val="clear" w:pos="1021"/>
        </w:tabs>
        <w:spacing w:after="80" w:line="20" w:lineRule="atLeast"/>
        <w:ind w:left="0" w:right="14" w:firstLine="0"/>
        <w:rPr>
          <w:color w:val="0000FF"/>
          <w:sz w:val="20"/>
          <w:u w:val="single"/>
        </w:rPr>
      </w:pPr>
      <w:r w:rsidRPr="005D20D5">
        <w:rPr>
          <w:rStyle w:val="FootnoteReference"/>
          <w:sz w:val="20"/>
          <w:vertAlign w:val="superscript"/>
        </w:rPr>
        <w:footnoteRef/>
      </w:r>
      <w:r w:rsidRPr="005D20D5">
        <w:rPr>
          <w:sz w:val="20"/>
        </w:rPr>
        <w:t xml:space="preserve"> Gisha, Adalah, and Al Mezan, “Human rights organizations Gisha, Adalah and Al Mezan demand an immediate stop to aerial herbicide spraying by Israel over Gaza’s perimeter fence,” 16 January 2020: </w:t>
      </w:r>
      <w:hyperlink r:id="rId4" w:history="1">
        <w:r w:rsidRPr="005D20D5">
          <w:rPr>
            <w:color w:val="0000FF"/>
            <w:sz w:val="20"/>
            <w:u w:val="single"/>
          </w:rPr>
          <w:t>http://mezan.org/en/post/23665</w:t>
        </w:r>
      </w:hyperlink>
      <w:r w:rsidRPr="005D20D5">
        <w:rPr>
          <w:rStyle w:val="Hyperlink"/>
          <w:sz w:val="20"/>
        </w:rPr>
        <w:t>.</w:t>
      </w:r>
    </w:p>
  </w:footnote>
  <w:footnote w:id="9">
    <w:p w14:paraId="0260085B" w14:textId="77777777" w:rsidR="00A96247" w:rsidRPr="005D20D5" w:rsidRDefault="00A96247" w:rsidP="005D20D5">
      <w:pPr>
        <w:pStyle w:val="FootnoteText"/>
        <w:tabs>
          <w:tab w:val="clear" w:pos="1021"/>
        </w:tabs>
        <w:spacing w:after="80" w:line="20" w:lineRule="atLeast"/>
        <w:ind w:left="0" w:right="14" w:firstLine="0"/>
        <w:rPr>
          <w:color w:val="0000FF"/>
          <w:sz w:val="20"/>
          <w:u w:val="single"/>
        </w:rPr>
      </w:pPr>
      <w:r w:rsidRPr="005D20D5">
        <w:rPr>
          <w:rStyle w:val="FootnoteReference"/>
          <w:sz w:val="20"/>
          <w:vertAlign w:val="superscript"/>
        </w:rPr>
        <w:footnoteRef/>
      </w:r>
      <w:r w:rsidRPr="005D20D5">
        <w:rPr>
          <w:sz w:val="20"/>
        </w:rPr>
        <w:t xml:space="preserve"> WHO, aggregate numbers of the 2019 monthly reports on access to health in the oPt: </w:t>
      </w:r>
      <w:hyperlink r:id="rId5" w:history="1">
        <w:r w:rsidRPr="005D20D5">
          <w:rPr>
            <w:color w:val="0000FF"/>
            <w:sz w:val="20"/>
            <w:u w:val="single"/>
          </w:rPr>
          <w:t>http://www.emro.who.int/pse/publications-who/monthly-referral-reports.html</w:t>
        </w:r>
      </w:hyperlink>
      <w:r w:rsidRPr="005D20D5">
        <w:rPr>
          <w:rStyle w:val="Hyperlink"/>
          <w:sz w:val="20"/>
        </w:rPr>
        <w:t>.</w:t>
      </w:r>
    </w:p>
  </w:footnote>
  <w:footnote w:id="10">
    <w:p w14:paraId="79E1284B" w14:textId="20CD8D7A" w:rsidR="00A96247" w:rsidRPr="005D20D5" w:rsidRDefault="00A96247" w:rsidP="00B81767">
      <w:pPr>
        <w:spacing w:after="80" w:line="20" w:lineRule="atLeast"/>
        <w:ind w:right="14"/>
        <w:rPr>
          <w:color w:val="0000FF"/>
          <w:u w:val="single"/>
        </w:rPr>
      </w:pPr>
      <w:r w:rsidRPr="005D20D5">
        <w:rPr>
          <w:vertAlign w:val="superscript"/>
        </w:rPr>
        <w:footnoteRef/>
      </w:r>
      <w:r w:rsidRPr="005D20D5">
        <w:t xml:space="preserve"> </w:t>
      </w:r>
      <w:r w:rsidR="00DC61A1" w:rsidRPr="005D20D5">
        <w:rPr>
          <w:rFonts w:asciiTheme="majorBidi" w:hAnsiTheme="majorBidi" w:cstheme="majorBidi"/>
          <w:i/>
          <w:iCs/>
        </w:rPr>
        <w:t>Rome Statute of the International Criminal Court</w:t>
      </w:r>
      <w:r w:rsidR="00DC61A1" w:rsidRPr="005D20D5">
        <w:rPr>
          <w:rFonts w:asciiTheme="majorBidi" w:hAnsiTheme="majorBidi" w:cstheme="majorBidi"/>
        </w:rPr>
        <w:t xml:space="preserve"> (adopted 17 July 1998, entry into force 1 July 2002) 2187 UNTS 3</w:t>
      </w:r>
      <w:r w:rsidR="00DC61A1">
        <w:rPr>
          <w:rFonts w:asciiTheme="majorBidi" w:hAnsiTheme="majorBidi" w:cstheme="majorBidi"/>
        </w:rPr>
        <w:t xml:space="preserve">, </w:t>
      </w:r>
      <w:r w:rsidR="00DC61A1" w:rsidRPr="00D06991">
        <w:rPr>
          <w:rFonts w:asciiTheme="majorBidi" w:hAnsiTheme="majorBidi" w:cstheme="majorBidi"/>
        </w:rPr>
        <w:t>Article 7(2)(h)</w:t>
      </w:r>
      <w:r w:rsidR="00DC61A1">
        <w:rPr>
          <w:rFonts w:asciiTheme="majorBidi" w:hAnsiTheme="majorBidi" w:cstheme="majorBidi"/>
        </w:rPr>
        <w:t xml:space="preserve">. </w:t>
      </w:r>
      <w:r w:rsidR="00DC61A1">
        <w:rPr>
          <w:rFonts w:asciiTheme="majorBidi" w:hAnsiTheme="majorBidi" w:cstheme="majorBidi"/>
          <w:i/>
          <w:iCs/>
        </w:rPr>
        <w:t xml:space="preserve">See also </w:t>
      </w:r>
      <w:r w:rsidRPr="005D20D5">
        <w:t xml:space="preserve">Al-Haq, “Palestinian, regional, and international groups submit report on Israeli apartheid to UN Committee on the Elimination of Racial Discrimination,” 12 November 2019, para. 48: </w:t>
      </w:r>
      <w:hyperlink r:id="rId6" w:history="1">
        <w:r w:rsidRPr="005D20D5">
          <w:rPr>
            <w:color w:val="0000FF"/>
            <w:u w:val="single"/>
          </w:rPr>
          <w:t>http://www.alhaq.org/advocacy/16183.html</w:t>
        </w:r>
      </w:hyperlink>
      <w:r w:rsidRPr="005D20D5">
        <w:rPr>
          <w:rStyle w:val="Hyperlink"/>
        </w:rPr>
        <w:t>.</w:t>
      </w:r>
    </w:p>
  </w:footnote>
  <w:footnote w:id="11">
    <w:p w14:paraId="4DD3D170" w14:textId="77777777" w:rsidR="00A96247" w:rsidRPr="005D20D5" w:rsidRDefault="00A96247" w:rsidP="00B81767">
      <w:pPr>
        <w:spacing w:after="80" w:line="20" w:lineRule="atLeast"/>
        <w:ind w:right="14"/>
      </w:pPr>
      <w:r w:rsidRPr="005D20D5">
        <w:rPr>
          <w:vertAlign w:val="superscript"/>
        </w:rPr>
        <w:footnoteRef/>
      </w:r>
      <w:r w:rsidRPr="005D20D5">
        <w:t xml:space="preserve"> A/HRC/RES/40/13, para. 11.</w:t>
      </w:r>
    </w:p>
  </w:footnote>
  <w:footnote w:id="12">
    <w:p w14:paraId="521689D5" w14:textId="77777777" w:rsidR="00A96247" w:rsidRPr="005D20D5" w:rsidRDefault="00A96247" w:rsidP="00495710">
      <w:pPr>
        <w:spacing w:after="80" w:line="20" w:lineRule="atLeast"/>
        <w:ind w:right="14"/>
      </w:pPr>
      <w:r w:rsidRPr="005D20D5">
        <w:rPr>
          <w:vertAlign w:val="superscript"/>
        </w:rPr>
        <w:footnoteRef/>
      </w:r>
      <w:r w:rsidRPr="005D20D5">
        <w:t xml:space="preserve"> A/HRC/40/74, para. 122.</w:t>
      </w:r>
    </w:p>
  </w:footnote>
  <w:footnote w:id="13">
    <w:p w14:paraId="7F5AF29C" w14:textId="77777777" w:rsidR="00A96247" w:rsidRPr="005D20D5" w:rsidRDefault="00A96247" w:rsidP="0056074C">
      <w:pPr>
        <w:spacing w:after="80" w:line="20" w:lineRule="atLeast"/>
        <w:ind w:right="14"/>
      </w:pPr>
      <w:r w:rsidRPr="005D20D5">
        <w:rPr>
          <w:vertAlign w:val="superscript"/>
        </w:rPr>
        <w:footnoteRef/>
      </w:r>
      <w:r w:rsidRPr="005D20D5">
        <w:t xml:space="preserve"> A/HRC/RES/40/13, para. 10.</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E8762" w14:textId="77777777" w:rsidR="00DE779E" w:rsidRPr="002F779E" w:rsidRDefault="002F779E" w:rsidP="002F779E">
    <w:pPr>
      <w:pStyle w:val="Header"/>
    </w:pPr>
    <w:r>
      <w:t>A/HRC/43/NGO/X</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3762E" w14:textId="77777777" w:rsidR="00DE779E" w:rsidRPr="0015766B" w:rsidRDefault="00D20AD6" w:rsidP="00DD7794">
    <w:pPr>
      <w:pStyle w:val="Header"/>
      <w:jc w:val="right"/>
    </w:pPr>
    <w:r>
      <w:t>A/HRC/43/NGO/X</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A5459B2"/>
    <w:multiLevelType w:val="hybridMultilevel"/>
    <w:tmpl w:val="A0C2D994"/>
    <w:lvl w:ilvl="0" w:tplc="FFFFFFFF">
      <w:start w:val="1"/>
      <w:numFmt w:val="bullet"/>
      <w:lvlText w:val="●"/>
      <w:lvlJc w:val="left"/>
      <w:pPr>
        <w:tabs>
          <w:tab w:val="num" w:pos="360"/>
        </w:tabs>
        <w:ind w:left="1080" w:hanging="720"/>
      </w:pPr>
      <w:rPr>
        <w:rFonts w:ascii="Verdana" w:eastAsia="Verdana" w:hAnsi="Verdana" w:cs="Verdana"/>
        <w:b w:val="0"/>
        <w:bCs w:val="0"/>
        <w:i w:val="0"/>
        <w:iCs w:val="0"/>
        <w:strike w:val="0"/>
        <w:color w:val="000000"/>
        <w:sz w:val="20"/>
        <w:szCs w:val="20"/>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A936A5F"/>
    <w:multiLevelType w:val="multilevel"/>
    <w:tmpl w:val="F9D404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7F967298"/>
    <w:multiLevelType w:val="hybridMultilevel"/>
    <w:tmpl w:val="04EABDAC"/>
    <w:lvl w:ilvl="0" w:tplc="2C0A000D">
      <w:start w:val="1"/>
      <w:numFmt w:val="bullet"/>
      <w:lvlText w:val="ü"/>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2"/>
  </w:num>
  <w:num w:numId="5">
    <w:abstractNumId w:val="0"/>
  </w:num>
  <w:num w:numId="6">
    <w:abstractNumId w:val="1"/>
  </w:num>
  <w:num w:numId="7">
    <w:abstractNumId w:val="5"/>
  </w:num>
  <w:num w:numId="8">
    <w:abstractNumId w:val="6"/>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AR" w:vendorID="64" w:dllVersion="6" w:nlCheck="1" w:checkStyle="1"/>
  <w:activeWritingStyle w:appName="MSWord" w:lang="es-ES_tradnl"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6B"/>
    <w:rsid w:val="00007F7F"/>
    <w:rsid w:val="00022DB5"/>
    <w:rsid w:val="00030F58"/>
    <w:rsid w:val="0003361C"/>
    <w:rsid w:val="000341E4"/>
    <w:rsid w:val="000345DA"/>
    <w:rsid w:val="0003524B"/>
    <w:rsid w:val="000403D1"/>
    <w:rsid w:val="000449AA"/>
    <w:rsid w:val="00050F6B"/>
    <w:rsid w:val="00056751"/>
    <w:rsid w:val="00070590"/>
    <w:rsid w:val="00072C8C"/>
    <w:rsid w:val="00073E70"/>
    <w:rsid w:val="00082F2B"/>
    <w:rsid w:val="000876EB"/>
    <w:rsid w:val="00091419"/>
    <w:rsid w:val="000931C0"/>
    <w:rsid w:val="00093DC0"/>
    <w:rsid w:val="0009425F"/>
    <w:rsid w:val="000A314B"/>
    <w:rsid w:val="000A3188"/>
    <w:rsid w:val="000A52C3"/>
    <w:rsid w:val="000B175B"/>
    <w:rsid w:val="000B3A0F"/>
    <w:rsid w:val="000B4A3B"/>
    <w:rsid w:val="000D1851"/>
    <w:rsid w:val="000E0415"/>
    <w:rsid w:val="000F4484"/>
    <w:rsid w:val="00106DE6"/>
    <w:rsid w:val="00110F15"/>
    <w:rsid w:val="0011744C"/>
    <w:rsid w:val="001200B1"/>
    <w:rsid w:val="001255EC"/>
    <w:rsid w:val="0012581E"/>
    <w:rsid w:val="00130C45"/>
    <w:rsid w:val="001421E1"/>
    <w:rsid w:val="001425C4"/>
    <w:rsid w:val="00146D32"/>
    <w:rsid w:val="001509BA"/>
    <w:rsid w:val="0015766B"/>
    <w:rsid w:val="001777B6"/>
    <w:rsid w:val="0018629C"/>
    <w:rsid w:val="0019034F"/>
    <w:rsid w:val="001A22DF"/>
    <w:rsid w:val="001B4B04"/>
    <w:rsid w:val="001C466A"/>
    <w:rsid w:val="001C6663"/>
    <w:rsid w:val="001C7895"/>
    <w:rsid w:val="001D26DF"/>
    <w:rsid w:val="001E2790"/>
    <w:rsid w:val="001E34E2"/>
    <w:rsid w:val="00201E0E"/>
    <w:rsid w:val="00205258"/>
    <w:rsid w:val="00211588"/>
    <w:rsid w:val="00211E0B"/>
    <w:rsid w:val="00211E72"/>
    <w:rsid w:val="00214047"/>
    <w:rsid w:val="0022130F"/>
    <w:rsid w:val="002236AA"/>
    <w:rsid w:val="00230DE5"/>
    <w:rsid w:val="002312D2"/>
    <w:rsid w:val="00237785"/>
    <w:rsid w:val="002410DD"/>
    <w:rsid w:val="00241466"/>
    <w:rsid w:val="00241F28"/>
    <w:rsid w:val="00246CDA"/>
    <w:rsid w:val="00253D58"/>
    <w:rsid w:val="00261E7E"/>
    <w:rsid w:val="002625ED"/>
    <w:rsid w:val="002645DA"/>
    <w:rsid w:val="00271D64"/>
    <w:rsid w:val="0027725F"/>
    <w:rsid w:val="00287EE0"/>
    <w:rsid w:val="00291912"/>
    <w:rsid w:val="002B453C"/>
    <w:rsid w:val="002C21F0"/>
    <w:rsid w:val="002C65AE"/>
    <w:rsid w:val="002D2616"/>
    <w:rsid w:val="002E2807"/>
    <w:rsid w:val="002F4FED"/>
    <w:rsid w:val="002F779E"/>
    <w:rsid w:val="003107FA"/>
    <w:rsid w:val="003138C1"/>
    <w:rsid w:val="00320985"/>
    <w:rsid w:val="00321C4A"/>
    <w:rsid w:val="003229D8"/>
    <w:rsid w:val="003314D1"/>
    <w:rsid w:val="00331619"/>
    <w:rsid w:val="00334221"/>
    <w:rsid w:val="00335A2F"/>
    <w:rsid w:val="00341937"/>
    <w:rsid w:val="00351C74"/>
    <w:rsid w:val="0035523D"/>
    <w:rsid w:val="00382115"/>
    <w:rsid w:val="00383719"/>
    <w:rsid w:val="0038734E"/>
    <w:rsid w:val="0039277A"/>
    <w:rsid w:val="003972E0"/>
    <w:rsid w:val="003975ED"/>
    <w:rsid w:val="003B05D3"/>
    <w:rsid w:val="003C23EE"/>
    <w:rsid w:val="003C2CC4"/>
    <w:rsid w:val="003D00E9"/>
    <w:rsid w:val="003D4B23"/>
    <w:rsid w:val="003E0894"/>
    <w:rsid w:val="003E77B0"/>
    <w:rsid w:val="0040043B"/>
    <w:rsid w:val="00401A27"/>
    <w:rsid w:val="00424C80"/>
    <w:rsid w:val="004325CB"/>
    <w:rsid w:val="0044503A"/>
    <w:rsid w:val="00446DE4"/>
    <w:rsid w:val="00447761"/>
    <w:rsid w:val="00451EC3"/>
    <w:rsid w:val="004628BE"/>
    <w:rsid w:val="00470C91"/>
    <w:rsid w:val="004721B1"/>
    <w:rsid w:val="004859EC"/>
    <w:rsid w:val="004903D1"/>
    <w:rsid w:val="00495710"/>
    <w:rsid w:val="00496A15"/>
    <w:rsid w:val="004A1593"/>
    <w:rsid w:val="004A7474"/>
    <w:rsid w:val="004B75D2"/>
    <w:rsid w:val="004C5776"/>
    <w:rsid w:val="004C61EB"/>
    <w:rsid w:val="004D1140"/>
    <w:rsid w:val="004D2DE5"/>
    <w:rsid w:val="004E3DB6"/>
    <w:rsid w:val="004F284E"/>
    <w:rsid w:val="004F55ED"/>
    <w:rsid w:val="004F7626"/>
    <w:rsid w:val="0050361A"/>
    <w:rsid w:val="00520939"/>
    <w:rsid w:val="0052176C"/>
    <w:rsid w:val="005261E5"/>
    <w:rsid w:val="00541212"/>
    <w:rsid w:val="0054180F"/>
    <w:rsid w:val="005420F2"/>
    <w:rsid w:val="00542574"/>
    <w:rsid w:val="005436AB"/>
    <w:rsid w:val="00546DBF"/>
    <w:rsid w:val="00553D76"/>
    <w:rsid w:val="005552B5"/>
    <w:rsid w:val="0056074C"/>
    <w:rsid w:val="0056117B"/>
    <w:rsid w:val="00571365"/>
    <w:rsid w:val="00571BA5"/>
    <w:rsid w:val="00581D4F"/>
    <w:rsid w:val="005914FF"/>
    <w:rsid w:val="0059157D"/>
    <w:rsid w:val="005A6230"/>
    <w:rsid w:val="005B25AE"/>
    <w:rsid w:val="005B3DB3"/>
    <w:rsid w:val="005B6E48"/>
    <w:rsid w:val="005D20D5"/>
    <w:rsid w:val="005D7E7A"/>
    <w:rsid w:val="005E1712"/>
    <w:rsid w:val="005E2E3B"/>
    <w:rsid w:val="005E61C8"/>
    <w:rsid w:val="00607CF8"/>
    <w:rsid w:val="00611FC4"/>
    <w:rsid w:val="006176FB"/>
    <w:rsid w:val="00632385"/>
    <w:rsid w:val="00640B26"/>
    <w:rsid w:val="00647CA1"/>
    <w:rsid w:val="00663DEC"/>
    <w:rsid w:val="00663EF3"/>
    <w:rsid w:val="00670741"/>
    <w:rsid w:val="006776C7"/>
    <w:rsid w:val="006804A6"/>
    <w:rsid w:val="0068728D"/>
    <w:rsid w:val="006959C6"/>
    <w:rsid w:val="00696BD6"/>
    <w:rsid w:val="006A6B9D"/>
    <w:rsid w:val="006A7392"/>
    <w:rsid w:val="006B3189"/>
    <w:rsid w:val="006B7D65"/>
    <w:rsid w:val="006C1874"/>
    <w:rsid w:val="006C43CA"/>
    <w:rsid w:val="006D3665"/>
    <w:rsid w:val="006D6DA6"/>
    <w:rsid w:val="006E564B"/>
    <w:rsid w:val="006F13F0"/>
    <w:rsid w:val="006F5035"/>
    <w:rsid w:val="006F6B5B"/>
    <w:rsid w:val="007065EB"/>
    <w:rsid w:val="007105DE"/>
    <w:rsid w:val="00711F7A"/>
    <w:rsid w:val="00720183"/>
    <w:rsid w:val="0072632A"/>
    <w:rsid w:val="0074200B"/>
    <w:rsid w:val="0075136B"/>
    <w:rsid w:val="00756892"/>
    <w:rsid w:val="007573AA"/>
    <w:rsid w:val="007A02C7"/>
    <w:rsid w:val="007A19E1"/>
    <w:rsid w:val="007A6296"/>
    <w:rsid w:val="007B6BA5"/>
    <w:rsid w:val="007B7E57"/>
    <w:rsid w:val="007C1B62"/>
    <w:rsid w:val="007C3390"/>
    <w:rsid w:val="007C4F4B"/>
    <w:rsid w:val="007D2CDC"/>
    <w:rsid w:val="007D5327"/>
    <w:rsid w:val="007F3936"/>
    <w:rsid w:val="007F6611"/>
    <w:rsid w:val="008000AB"/>
    <w:rsid w:val="008115AE"/>
    <w:rsid w:val="008150E2"/>
    <w:rsid w:val="008155C3"/>
    <w:rsid w:val="008175E9"/>
    <w:rsid w:val="0082243E"/>
    <w:rsid w:val="008242D7"/>
    <w:rsid w:val="0084128E"/>
    <w:rsid w:val="00844ED1"/>
    <w:rsid w:val="00855BB3"/>
    <w:rsid w:val="00856CD2"/>
    <w:rsid w:val="00861BC6"/>
    <w:rsid w:val="00871FD5"/>
    <w:rsid w:val="00874208"/>
    <w:rsid w:val="00880234"/>
    <w:rsid w:val="0088291C"/>
    <w:rsid w:val="0088782C"/>
    <w:rsid w:val="008979B1"/>
    <w:rsid w:val="008A6B25"/>
    <w:rsid w:val="008A6C4F"/>
    <w:rsid w:val="008B24A7"/>
    <w:rsid w:val="008C1E4D"/>
    <w:rsid w:val="008C62F5"/>
    <w:rsid w:val="008D1360"/>
    <w:rsid w:val="008D6F3D"/>
    <w:rsid w:val="008E0E46"/>
    <w:rsid w:val="008E36EC"/>
    <w:rsid w:val="008F3A92"/>
    <w:rsid w:val="00900758"/>
    <w:rsid w:val="0090452C"/>
    <w:rsid w:val="00907C3F"/>
    <w:rsid w:val="00914AB4"/>
    <w:rsid w:val="0092237C"/>
    <w:rsid w:val="009234E2"/>
    <w:rsid w:val="00931FC7"/>
    <w:rsid w:val="0093707B"/>
    <w:rsid w:val="009400EB"/>
    <w:rsid w:val="009427E3"/>
    <w:rsid w:val="0095217F"/>
    <w:rsid w:val="00956D9B"/>
    <w:rsid w:val="00963CBA"/>
    <w:rsid w:val="009654B7"/>
    <w:rsid w:val="00984468"/>
    <w:rsid w:val="00991261"/>
    <w:rsid w:val="00991316"/>
    <w:rsid w:val="00993475"/>
    <w:rsid w:val="009A0B83"/>
    <w:rsid w:val="009B2FB9"/>
    <w:rsid w:val="009B3800"/>
    <w:rsid w:val="009C555D"/>
    <w:rsid w:val="009D22AC"/>
    <w:rsid w:val="009D31E0"/>
    <w:rsid w:val="009D50DB"/>
    <w:rsid w:val="009E1C4E"/>
    <w:rsid w:val="009F6D69"/>
    <w:rsid w:val="00A05E0B"/>
    <w:rsid w:val="00A1427D"/>
    <w:rsid w:val="00A35C9F"/>
    <w:rsid w:val="00A4503A"/>
    <w:rsid w:val="00A4634F"/>
    <w:rsid w:val="00A46C35"/>
    <w:rsid w:val="00A51CF3"/>
    <w:rsid w:val="00A54323"/>
    <w:rsid w:val="00A72F22"/>
    <w:rsid w:val="00A748A6"/>
    <w:rsid w:val="00A879A4"/>
    <w:rsid w:val="00A87E95"/>
    <w:rsid w:val="00A92E29"/>
    <w:rsid w:val="00A96247"/>
    <w:rsid w:val="00AB5383"/>
    <w:rsid w:val="00AD09E9"/>
    <w:rsid w:val="00AE2223"/>
    <w:rsid w:val="00AF0576"/>
    <w:rsid w:val="00AF3829"/>
    <w:rsid w:val="00B037F0"/>
    <w:rsid w:val="00B17833"/>
    <w:rsid w:val="00B2327D"/>
    <w:rsid w:val="00B2718F"/>
    <w:rsid w:val="00B30179"/>
    <w:rsid w:val="00B3317B"/>
    <w:rsid w:val="00B334DC"/>
    <w:rsid w:val="00B359C5"/>
    <w:rsid w:val="00B3631A"/>
    <w:rsid w:val="00B53013"/>
    <w:rsid w:val="00B64018"/>
    <w:rsid w:val="00B67F5E"/>
    <w:rsid w:val="00B7201A"/>
    <w:rsid w:val="00B73E65"/>
    <w:rsid w:val="00B81767"/>
    <w:rsid w:val="00B81E12"/>
    <w:rsid w:val="00B87110"/>
    <w:rsid w:val="00B903A4"/>
    <w:rsid w:val="00B97FA8"/>
    <w:rsid w:val="00BA146C"/>
    <w:rsid w:val="00BA6A3F"/>
    <w:rsid w:val="00BB329C"/>
    <w:rsid w:val="00BB4469"/>
    <w:rsid w:val="00BC1385"/>
    <w:rsid w:val="00BC74E9"/>
    <w:rsid w:val="00BD4985"/>
    <w:rsid w:val="00BD6DEB"/>
    <w:rsid w:val="00BE3456"/>
    <w:rsid w:val="00BE618E"/>
    <w:rsid w:val="00BE61FD"/>
    <w:rsid w:val="00BF6FEA"/>
    <w:rsid w:val="00C00ED9"/>
    <w:rsid w:val="00C170FB"/>
    <w:rsid w:val="00C22388"/>
    <w:rsid w:val="00C24693"/>
    <w:rsid w:val="00C2668E"/>
    <w:rsid w:val="00C3071E"/>
    <w:rsid w:val="00C35F0B"/>
    <w:rsid w:val="00C36D91"/>
    <w:rsid w:val="00C463DD"/>
    <w:rsid w:val="00C62C5A"/>
    <w:rsid w:val="00C64458"/>
    <w:rsid w:val="00C745C3"/>
    <w:rsid w:val="00C97FD1"/>
    <w:rsid w:val="00CA2A58"/>
    <w:rsid w:val="00CA515B"/>
    <w:rsid w:val="00CA585D"/>
    <w:rsid w:val="00CC0B55"/>
    <w:rsid w:val="00CD6995"/>
    <w:rsid w:val="00CE3699"/>
    <w:rsid w:val="00CE4A8F"/>
    <w:rsid w:val="00CE6278"/>
    <w:rsid w:val="00CF0214"/>
    <w:rsid w:val="00CF0BE8"/>
    <w:rsid w:val="00CF586F"/>
    <w:rsid w:val="00CF7465"/>
    <w:rsid w:val="00CF7D43"/>
    <w:rsid w:val="00D02CAD"/>
    <w:rsid w:val="00D06991"/>
    <w:rsid w:val="00D11129"/>
    <w:rsid w:val="00D16388"/>
    <w:rsid w:val="00D2031B"/>
    <w:rsid w:val="00D20AD6"/>
    <w:rsid w:val="00D21BDD"/>
    <w:rsid w:val="00D22332"/>
    <w:rsid w:val="00D23700"/>
    <w:rsid w:val="00D25FE2"/>
    <w:rsid w:val="00D308B1"/>
    <w:rsid w:val="00D3441C"/>
    <w:rsid w:val="00D43252"/>
    <w:rsid w:val="00D550F9"/>
    <w:rsid w:val="00D572B0"/>
    <w:rsid w:val="00D61469"/>
    <w:rsid w:val="00D62E90"/>
    <w:rsid w:val="00D73E8C"/>
    <w:rsid w:val="00D76BE5"/>
    <w:rsid w:val="00D9005A"/>
    <w:rsid w:val="00D978C6"/>
    <w:rsid w:val="00DA67AD"/>
    <w:rsid w:val="00DA7B68"/>
    <w:rsid w:val="00DB185B"/>
    <w:rsid w:val="00DB18CE"/>
    <w:rsid w:val="00DB6452"/>
    <w:rsid w:val="00DC61A1"/>
    <w:rsid w:val="00DD4157"/>
    <w:rsid w:val="00DD7794"/>
    <w:rsid w:val="00DE3EC0"/>
    <w:rsid w:val="00DE779E"/>
    <w:rsid w:val="00DF7A58"/>
    <w:rsid w:val="00E05253"/>
    <w:rsid w:val="00E11593"/>
    <w:rsid w:val="00E12B6B"/>
    <w:rsid w:val="00E130AB"/>
    <w:rsid w:val="00E20AB7"/>
    <w:rsid w:val="00E33A2F"/>
    <w:rsid w:val="00E438D9"/>
    <w:rsid w:val="00E5644E"/>
    <w:rsid w:val="00E576E6"/>
    <w:rsid w:val="00E7260F"/>
    <w:rsid w:val="00E806EE"/>
    <w:rsid w:val="00E82C11"/>
    <w:rsid w:val="00E923C3"/>
    <w:rsid w:val="00E94623"/>
    <w:rsid w:val="00E953E6"/>
    <w:rsid w:val="00E96630"/>
    <w:rsid w:val="00EB0FB9"/>
    <w:rsid w:val="00ED0CA9"/>
    <w:rsid w:val="00ED19B8"/>
    <w:rsid w:val="00ED7A2A"/>
    <w:rsid w:val="00EE3B75"/>
    <w:rsid w:val="00EF1D7F"/>
    <w:rsid w:val="00EF5BDB"/>
    <w:rsid w:val="00F07FD9"/>
    <w:rsid w:val="00F119BE"/>
    <w:rsid w:val="00F17A45"/>
    <w:rsid w:val="00F23933"/>
    <w:rsid w:val="00F24119"/>
    <w:rsid w:val="00F32220"/>
    <w:rsid w:val="00F3618A"/>
    <w:rsid w:val="00F40E75"/>
    <w:rsid w:val="00F42CD9"/>
    <w:rsid w:val="00F52936"/>
    <w:rsid w:val="00F54425"/>
    <w:rsid w:val="00F61400"/>
    <w:rsid w:val="00F6699B"/>
    <w:rsid w:val="00F677CB"/>
    <w:rsid w:val="00F732CA"/>
    <w:rsid w:val="00FA7DF3"/>
    <w:rsid w:val="00FB59EE"/>
    <w:rsid w:val="00FC68B7"/>
    <w:rsid w:val="00FD7C12"/>
    <w:rsid w:val="00FF0793"/>
  </w:rsids>
  <m:mathPr>
    <m:mathFont m:val="Cambria Math"/>
    <m:brkBin m:val="before"/>
    <m:brkBinSub m:val="--"/>
    <m:smallFrac/>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D03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lsdException w:name="Note Level 9"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F021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rsid w:val="00CF0214"/>
    <w:rPr>
      <w:rFonts w:ascii="Times New Roman" w:hAnsi="Times New Roman"/>
      <w:sz w:val="18"/>
    </w:rPr>
  </w:style>
  <w:style w:type="character" w:styleId="EndnoteReference">
    <w:name w:val="endnote reference"/>
    <w:aliases w:val="1_G"/>
    <w:rsid w:val="00CF0214"/>
    <w:rPr>
      <w:rFonts w:ascii="Times New Roman" w:hAnsi="Times New Roman"/>
      <w:sz w:val="18"/>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uiPriority w:val="99"/>
    <w:rsid w:val="007B7E57"/>
    <w:rPr>
      <w:sz w:val="18"/>
      <w:lang w:val="en-GB" w:eastAsia="en-US" w:bidi="ar-SA"/>
    </w:rPr>
  </w:style>
  <w:style w:type="character" w:customStyle="1" w:styleId="EndnoteTextChar">
    <w:name w:val="Endnote Text Char"/>
    <w:aliases w:val="2_G Char"/>
    <w:link w:val="EndnoteText"/>
    <w:uiPriority w:val="99"/>
    <w:rsid w:val="007B7E57"/>
    <w:rPr>
      <w:sz w:val="18"/>
      <w:lang w:val="en-GB" w:eastAsia="en-US" w:bidi="ar-SA"/>
    </w:rPr>
  </w:style>
  <w:style w:type="character" w:customStyle="1" w:styleId="HChGChar">
    <w:name w:val="_ H _Ch_G Char"/>
    <w:link w:val="HChG"/>
    <w:rsid w:val="002C65AE"/>
    <w:rPr>
      <w:b/>
      <w:sz w:val="28"/>
      <w:lang w:val="en-GB" w:eastAsia="en-US" w:bidi="ar-SA"/>
    </w:rPr>
  </w:style>
  <w:style w:type="paragraph" w:customStyle="1" w:styleId="HChG14">
    <w:name w:val="_H_Ch_G 14"/>
    <w:basedOn w:val="HChG"/>
    <w:rsid w:val="002C65AE"/>
    <w:rPr>
      <w:rFonts w:eastAsia="SimSun"/>
    </w:rPr>
  </w:style>
  <w:style w:type="paragraph" w:styleId="BalloonText">
    <w:name w:val="Balloon Text"/>
    <w:basedOn w:val="Normal"/>
    <w:link w:val="BalloonTextChar"/>
    <w:rsid w:val="006C43CA"/>
    <w:pPr>
      <w:spacing w:line="240" w:lineRule="auto"/>
    </w:pPr>
    <w:rPr>
      <w:rFonts w:ascii="Tahoma" w:hAnsi="Tahoma" w:cs="Tahoma"/>
      <w:sz w:val="16"/>
      <w:szCs w:val="16"/>
    </w:rPr>
  </w:style>
  <w:style w:type="character" w:customStyle="1" w:styleId="BalloonTextChar">
    <w:name w:val="Balloon Text Char"/>
    <w:link w:val="BalloonText"/>
    <w:rsid w:val="006C43CA"/>
    <w:rPr>
      <w:rFonts w:ascii="Tahoma" w:hAnsi="Tahoma" w:cs="Tahoma"/>
      <w:sz w:val="16"/>
      <w:szCs w:val="16"/>
      <w:lang w:eastAsia="en-US"/>
    </w:rPr>
  </w:style>
  <w:style w:type="character" w:customStyle="1" w:styleId="st">
    <w:name w:val="st"/>
    <w:basedOn w:val="DefaultParagraphFont"/>
    <w:rsid w:val="000A52C3"/>
  </w:style>
  <w:style w:type="character" w:styleId="Emphasis">
    <w:name w:val="Emphasis"/>
    <w:uiPriority w:val="20"/>
    <w:qFormat/>
    <w:rsid w:val="000A52C3"/>
    <w:rPr>
      <w:i/>
      <w:iCs/>
    </w:rPr>
  </w:style>
  <w:style w:type="paragraph" w:styleId="ListParagraph">
    <w:name w:val="List Paragraph"/>
    <w:basedOn w:val="Normal"/>
    <w:uiPriority w:val="34"/>
    <w:qFormat/>
    <w:rsid w:val="000A52C3"/>
    <w:pPr>
      <w:suppressAutoHyphens w:val="0"/>
      <w:spacing w:after="200" w:line="276" w:lineRule="auto"/>
      <w:ind w:left="720"/>
      <w:contextualSpacing/>
    </w:pPr>
    <w:rPr>
      <w:rFonts w:ascii="Calibri" w:hAnsi="Calibri"/>
      <w:sz w:val="22"/>
      <w:szCs w:val="22"/>
      <w:lang w:val="es-AR" w:eastAsia="es-AR"/>
    </w:rPr>
  </w:style>
  <w:style w:type="paragraph" w:styleId="Revision">
    <w:name w:val="Revision"/>
    <w:hidden/>
    <w:uiPriority w:val="99"/>
    <w:semiHidden/>
    <w:rsid w:val="006F6B5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961437">
      <w:bodyDiv w:val="1"/>
      <w:marLeft w:val="0"/>
      <w:marRight w:val="0"/>
      <w:marTop w:val="0"/>
      <w:marBottom w:val="0"/>
      <w:divBdr>
        <w:top w:val="none" w:sz="0" w:space="0" w:color="auto"/>
        <w:left w:val="none" w:sz="0" w:space="0" w:color="auto"/>
        <w:bottom w:val="none" w:sz="0" w:space="0" w:color="auto"/>
        <w:right w:val="none" w:sz="0" w:space="0" w:color="auto"/>
      </w:divBdr>
    </w:div>
    <w:div w:id="973214989">
      <w:bodyDiv w:val="1"/>
      <w:marLeft w:val="0"/>
      <w:marRight w:val="0"/>
      <w:marTop w:val="0"/>
      <w:marBottom w:val="0"/>
      <w:divBdr>
        <w:top w:val="none" w:sz="0" w:space="0" w:color="auto"/>
        <w:left w:val="none" w:sz="0" w:space="0" w:color="auto"/>
        <w:bottom w:val="none" w:sz="0" w:space="0" w:color="auto"/>
        <w:right w:val="none" w:sz="0" w:space="0" w:color="auto"/>
      </w:divBdr>
    </w:div>
    <w:div w:id="995570367">
      <w:bodyDiv w:val="1"/>
      <w:marLeft w:val="0"/>
      <w:marRight w:val="0"/>
      <w:marTop w:val="0"/>
      <w:marBottom w:val="0"/>
      <w:divBdr>
        <w:top w:val="none" w:sz="0" w:space="0" w:color="auto"/>
        <w:left w:val="none" w:sz="0" w:space="0" w:color="auto"/>
        <w:bottom w:val="none" w:sz="0" w:space="0" w:color="auto"/>
        <w:right w:val="none" w:sz="0" w:space="0" w:color="auto"/>
      </w:divBdr>
    </w:div>
    <w:div w:id="1472556019">
      <w:bodyDiv w:val="1"/>
      <w:marLeft w:val="0"/>
      <w:marRight w:val="0"/>
      <w:marTop w:val="0"/>
      <w:marBottom w:val="0"/>
      <w:divBdr>
        <w:top w:val="none" w:sz="0" w:space="0" w:color="auto"/>
        <w:left w:val="none" w:sz="0" w:space="0" w:color="auto"/>
        <w:bottom w:val="none" w:sz="0" w:space="0" w:color="auto"/>
        <w:right w:val="none" w:sz="0" w:space="0" w:color="auto"/>
      </w:divBdr>
    </w:div>
    <w:div w:id="185599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unrwa.org/where-we-work/gaza-strip" TargetMode="External"/><Relationship Id="rId4" Type="http://schemas.openxmlformats.org/officeDocument/2006/relationships/hyperlink" Target="http://mezan.org/en/post/23665" TargetMode="External"/><Relationship Id="rId5" Type="http://schemas.openxmlformats.org/officeDocument/2006/relationships/hyperlink" Target="http://www.emro.who.int/pse/publications-who/monthly-referral-reports.html" TargetMode="External"/><Relationship Id="rId6" Type="http://schemas.openxmlformats.org/officeDocument/2006/relationships/hyperlink" Target="http://www.alhaq.org/advocacy/16183.html" TargetMode="External"/><Relationship Id="rId1" Type="http://schemas.openxmlformats.org/officeDocument/2006/relationships/hyperlink" Target="https://www.ohchr.org/EN/HRBodies/HRC/Pages/NewsDetail.aspx?NewsID=24226&amp;LangID=E" TargetMode="External"/><Relationship Id="rId2" Type="http://schemas.openxmlformats.org/officeDocument/2006/relationships/hyperlink" Target="https://unsco.unmissions.org/sites/default/files/gaza_10_years_later_-_11_july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53E70-B222-FF42-B90C-E53A7407F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1433</Words>
  <Characters>8171</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creator>gaio</dc:creator>
  <cp:lastModifiedBy>Rania Muhareb</cp:lastModifiedBy>
  <cp:revision>18</cp:revision>
  <cp:lastPrinted>2020-02-12T15:59:00Z</cp:lastPrinted>
  <dcterms:created xsi:type="dcterms:W3CDTF">2020-02-13T15:28:00Z</dcterms:created>
  <dcterms:modified xsi:type="dcterms:W3CDTF">2020-02-13T16:06:00Z</dcterms:modified>
</cp:coreProperties>
</file>